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  <w:lang w:val="en-US" w:eastAsia="zh-CN"/>
        </w:rPr>
      </w:pPr>
    </w:p>
    <w:p>
      <w:pPr>
        <w:jc w:val="center"/>
        <w:rPr>
          <w:rFonts w:hint="eastAsia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  <w:lang w:val="en-US" w:eastAsia="zh-CN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492250" cy="2252345"/>
            <wp:effectExtent l="0" t="0" r="12700" b="14605"/>
            <wp:wrapSquare wrapText="bothSides"/>
            <wp:docPr id="5" name="图片 5" descr="Threshold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hreshold_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生与死的门槛：弥留之际与回光返照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英文书名：THRESHOLD: </w:t>
      </w:r>
      <w:r>
        <w:rPr>
          <w:rFonts w:hint="default" w:ascii="Times New Roman" w:hAnsi="Times New Roman" w:cs="Times New Roman"/>
          <w:b/>
          <w:i/>
          <w:iCs/>
          <w:color w:val="000000"/>
          <w:szCs w:val="21"/>
        </w:rPr>
        <w:t>Terminal Lucidity and the Border of Life and Death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者：Alexander Battyany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St. Martin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s Essentials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ANA/Conor Cheng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256页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生命教育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内容简介：</w:t>
      </w:r>
    </w:p>
    <w:p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回光返照现象很常见，但鲜少有人理解其背后的原理与意义。生命之旅即将到达终点，很多人都会面临病痛折磨，但哪怕中风、大脑损伤、神经受损、严重痴呆、陷入昏迷，但他们往往都会不可思议地突然“痊愈”，哪怕只有一小段时间。这段时间里，他们重获精力、头脑清晰，能够与家人和看护者清楚交流，回忆自己的一生。甚至有过案例记载，一些人虽然正处于无意识状态，对自己周围环境一无所知，却也能与他人颇为清晰地对话。人类见证过生命的无数奇迹，这也是其中之一吗？</w:t>
      </w:r>
    </w:p>
    <w:p>
      <w:pPr>
        <w:ind w:firstLine="210" w:firstLineChars="100"/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通过本书，认知神经学专家、维克托·福兰蔻研究所主任、维克托·福兰蔻档案馆馆长亚历山大·巴蒂亚尼博士(Dr. Alexander Battyany)将解答这一问题。博士援引数百条临床研究成果，探索心智、身体、意识的本质，展示生者可以从弥留之际的先者身上学到的生命智慧。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这部杰作令人震惊，而且感人肺腑。《生与死的门槛》(</w:t>
      </w:r>
      <w:r>
        <w:rPr>
          <w:rFonts w:hint="eastAsia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Threshold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)为我们揭开神秘面纱，展示生死之隙最为捉摸不透的瞬间。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雷蒙德·穆迪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olor w:val="000000"/>
          <w:szCs w:val="21"/>
          <w:lang w:val="en-US" w:eastAsia="zh-CN"/>
        </w:rPr>
        <w:t>(Raymond Moody)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所著《生命不息》(</w:t>
      </w:r>
      <w:r>
        <w:rPr>
          <w:rFonts w:hint="eastAsia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Life After Life)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、埃本·亚历山大(Eben Alexander)所著《天堂的证明》(</w:t>
      </w:r>
      <w:r>
        <w:rPr>
          <w:rFonts w:hint="eastAsia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Proof of Heaven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)，还有布鲁斯·格雷森(Bruce Greyson)所著《来生》(</w:t>
      </w:r>
      <w:r>
        <w:rPr>
          <w:rFonts w:hint="eastAsia" w:ascii="Times New Roman" w:hAnsi="Times New Roman" w:cs="Times New Roman"/>
          <w:b w:val="0"/>
          <w:bCs w:val="0"/>
          <w:i/>
          <w:iCs/>
          <w:color w:val="000000"/>
          <w:szCs w:val="21"/>
          <w:lang w:val="en-US" w:eastAsia="zh-CN"/>
        </w:rPr>
        <w:t>After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)都探讨了生死弥留之际的奇迹，这几本书的读者们会欣喜若狂地发现，《生与死的门槛》既有里程碑式的理论突破，也有第一手临床资料。翻开这本书，读者将读到一篇篇震撼人心的故事。那一个个瞬间，垂死之人告别痴呆、昏迷、中风等种种顽疾，重获清醒意识与清晰思维，重获记忆与人格，以尊严和勇气走过生命之旅的最后几个小时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这部作品根植于科学，并且从哲学层面探讨了自我与灵魂，凡是喜欢认知科学，对濒死经历抱有好奇心的读者都应该读一读这本书，若是有家人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罹患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奥兹海默综合征或老年痴呆，那这本书更不容错过。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作者简介：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98550" cy="1098550"/>
            <wp:effectExtent l="0" t="0" r="6350" b="635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亚历山大·巴蒂亚尼博士(Dr. Alexander Battyany)</w:t>
      </w:r>
      <w:r>
        <w:rPr>
          <w:rFonts w:hint="eastAsia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生于德国慕尼黑。父亲是匈牙利人，母亲是瑞士人，亚历山大整个童年都跟随父母旅居，见识过整个欧洲。他以优异成绩获得认知科学博士学位，担任维也纳维克多·福兰蔻研究所主任，为全世界四十多个国家的学生与同僚讲学。巴蒂尼亚业余时间往返于维也纳市区与匈牙利乡下，和妻子、女儿一起构建着一个半艺术半农牧的社区。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eastAsia" w:cs="Times New Roman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/>
          <w:bCs w:val="0"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jc w:val="lef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“引人入胜……《生与死的门槛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》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一定会挑战你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对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自我概念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的认知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——布鲁斯·格雷森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(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Bruce Greyson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)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，医学博士，弗吉尼亚大学精神病学和神经行为科学荣誉退休教授，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“引人注目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......这本书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壮观、震撼和改变人生。”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-彼得·克雷夫特博士(Dr. Peter Kreeft)，波士顿学院哲学教授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临终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清醒的惊人现象和非凡的临终体验交织在一起，从神经科学和存在主义哲学的角度进行了敏锐思考。强烈推荐。”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——迪恩·雷丁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博士（Dr. Dean Radin），诺埃蒂克科学研究所首席科学家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eastAsia"/>
          <w:b/>
          <w:color w:val="000000"/>
          <w:lang w:eastAsia="zh-CN"/>
        </w:rPr>
      </w:pPr>
      <w:r>
        <w:rPr>
          <w:b/>
          <w:color w:val="000000"/>
        </w:rPr>
        <w:t>感谢您的阅读</w:t>
      </w:r>
      <w:r>
        <w:rPr>
          <w:rFonts w:hint="eastAsia"/>
          <w:b/>
          <w:color w:val="000000"/>
          <w:lang w:eastAsia="zh-CN"/>
        </w:rPr>
        <w:t>！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请</w:t>
      </w:r>
      <w:r>
        <w:rPr>
          <w:b/>
          <w:color w:val="000000"/>
        </w:rPr>
        <w:t>将反馈信息发送至：程衍泽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2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503030403020204"/>
    <w:charset w:val="86"/>
    <w:family w:val="swiss"/>
    <w:pitch w:val="default"/>
    <w:sig w:usb0="00000000" w:usb1="00000000" w:usb2="00000000" w:usb3="00000000" w:csb0="2000019F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3810" b="1905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1eb85a43-1bcd-4644-bb2b-af431754cf2b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3D115E"/>
    <w:rsid w:val="065742DF"/>
    <w:rsid w:val="0806583D"/>
    <w:rsid w:val="091A3CEE"/>
    <w:rsid w:val="0AA822B2"/>
    <w:rsid w:val="11E37E75"/>
    <w:rsid w:val="1264528F"/>
    <w:rsid w:val="12D81E34"/>
    <w:rsid w:val="14117386"/>
    <w:rsid w:val="14410444"/>
    <w:rsid w:val="14900E1D"/>
    <w:rsid w:val="14C12F5A"/>
    <w:rsid w:val="162057B7"/>
    <w:rsid w:val="17594F22"/>
    <w:rsid w:val="21DC5EE4"/>
    <w:rsid w:val="256B5BB0"/>
    <w:rsid w:val="27321C92"/>
    <w:rsid w:val="286A24EC"/>
    <w:rsid w:val="287303E4"/>
    <w:rsid w:val="291C72C0"/>
    <w:rsid w:val="294F1F48"/>
    <w:rsid w:val="2C5142E1"/>
    <w:rsid w:val="30DC13F0"/>
    <w:rsid w:val="33D4015C"/>
    <w:rsid w:val="368055A2"/>
    <w:rsid w:val="36B97AE5"/>
    <w:rsid w:val="38D64782"/>
    <w:rsid w:val="38EA0260"/>
    <w:rsid w:val="3A133C1C"/>
    <w:rsid w:val="3C563F4C"/>
    <w:rsid w:val="3C70398D"/>
    <w:rsid w:val="3D74475E"/>
    <w:rsid w:val="3DAC00D1"/>
    <w:rsid w:val="3EE663B5"/>
    <w:rsid w:val="419C629C"/>
    <w:rsid w:val="41F30B4E"/>
    <w:rsid w:val="45083B8C"/>
    <w:rsid w:val="4603463C"/>
    <w:rsid w:val="494B7BFF"/>
    <w:rsid w:val="4A392FB7"/>
    <w:rsid w:val="4B3176D8"/>
    <w:rsid w:val="4D2B5486"/>
    <w:rsid w:val="4E87411E"/>
    <w:rsid w:val="4E9F4AB7"/>
    <w:rsid w:val="52C442F7"/>
    <w:rsid w:val="53591FD4"/>
    <w:rsid w:val="53F32DF7"/>
    <w:rsid w:val="564055B9"/>
    <w:rsid w:val="599E2E37"/>
    <w:rsid w:val="59F00E16"/>
    <w:rsid w:val="5E0C3542"/>
    <w:rsid w:val="5E572DEB"/>
    <w:rsid w:val="5E8E14C4"/>
    <w:rsid w:val="60197BB5"/>
    <w:rsid w:val="605753D1"/>
    <w:rsid w:val="621F6849"/>
    <w:rsid w:val="626C5880"/>
    <w:rsid w:val="656F5C3F"/>
    <w:rsid w:val="661D5426"/>
    <w:rsid w:val="674455A4"/>
    <w:rsid w:val="68202442"/>
    <w:rsid w:val="6E9A5873"/>
    <w:rsid w:val="6F800F2B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7A55FB"/>
    <w:rsid w:val="7F9A4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1263</Words>
  <Characters>1667</Characters>
  <Lines>14</Lines>
  <Paragraphs>4</Paragraphs>
  <TotalTime>117</TotalTime>
  <ScaleCrop>false</ScaleCrop>
  <LinksUpToDate>false</LinksUpToDate>
  <CharactersWithSpaces>1717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2020-06-02T05:54:00Z</dcterms:created>
  <dc:creator>Image</dc:creator>
  <cp:lastModifiedBy>Conor Cheng</cp:lastModifiedBy>
  <cp:lastPrinted>2005-06-10T06:33:00Z</cp:lastPrinted>
  <dcterms:modified xsi:type="dcterms:W3CDTF">2023-05-24T08:28:58Z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20D8A963665849CA9D9ECFE0917DB884</vt:lpwstr>
  </property>
</Properties>
</file>