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B5D03F"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 w14:paraId="3C2EB371">
      <w:pPr>
        <w:ind w:firstLine="3629" w:firstLineChars="1004"/>
        <w:rPr>
          <w:b/>
          <w:bCs/>
          <w:sz w:val="36"/>
        </w:rPr>
      </w:pPr>
    </w:p>
    <w:p w14:paraId="7A511E2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28 152723.png屏幕截图 2024-06-28 15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28 152723.png屏幕截图 2024-06-28 152723"/>
                    <pic:cNvPicPr>
                      <a:picLocks noChangeAspect="1"/>
                    </pic:cNvPicPr>
                  </pic:nvPicPr>
                  <pic:blipFill>
                    <a:blip r:embed="rId6"/>
                    <a:srcRect t="2040" b="204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后真相时代的艺术现实主义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 w14:paraId="3AFED08A"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>Art</w:t>
      </w:r>
      <w:r>
        <w:rPr>
          <w:rFonts w:hint="default"/>
          <w:b/>
          <w:bCs/>
          <w:i/>
          <w:iCs/>
          <w:color w:val="000000"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>s Realism in the Post-Truth Era</w:t>
      </w:r>
    </w:p>
    <w:p w14:paraId="54A9D546"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Maryse Ouellet and Amanda Boetzkes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 w14:paraId="2F059AC8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Edinburgh University Press</w:t>
      </w:r>
    </w:p>
    <w:p w14:paraId="21D9AC0F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 w14:paraId="44FEB9C4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384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 w14:paraId="1F2EB976"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 w14:paraId="22AA5AA5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 w14:paraId="56D2AA3D"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 w14:paraId="552AD1EF"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大众哲学</w:t>
      </w:r>
    </w:p>
    <w:p w14:paraId="2B85E801"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 w14:paraId="036AE5A3"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 w14:paraId="35696FCF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 w14:paraId="2F9B1374">
      <w:pPr>
        <w:numPr>
          <w:ilvl w:val="0"/>
          <w:numId w:val="2"/>
        </w:numPr>
        <w:ind w:left="840" w:leftChars="0" w:hanging="420" w:firstLine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/>
          <w:b/>
          <w:bCs/>
          <w:color w:val="000000"/>
          <w:sz w:val="21"/>
          <w:szCs w:val="21"/>
          <w:lang w:val="en-US" w:eastAsia="zh-CN"/>
        </w:rPr>
        <w:t>聚焦当代现实主义的视角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。</w:t>
      </w:r>
    </w:p>
    <w:p w14:paraId="1DB42CAC">
      <w:pPr>
        <w:numPr>
          <w:ilvl w:val="0"/>
          <w:numId w:val="2"/>
        </w:numPr>
        <w:ind w:left="840" w:leftChars="0" w:hanging="420" w:firstLine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/>
          <w:b/>
          <w:bCs/>
          <w:color w:val="000000"/>
          <w:sz w:val="21"/>
          <w:szCs w:val="21"/>
          <w:lang w:val="en-US" w:eastAsia="zh-CN"/>
        </w:rPr>
        <w:t>将艺术现实主义置于后真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相</w:t>
      </w:r>
      <w:r>
        <w:rPr>
          <w:rFonts w:hint="default"/>
          <w:b/>
          <w:bCs/>
          <w:color w:val="000000"/>
          <w:sz w:val="21"/>
          <w:szCs w:val="21"/>
          <w:lang w:val="en-US" w:eastAsia="zh-CN"/>
        </w:rPr>
        <w:t>时代的政治和哲学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之中。</w:t>
      </w:r>
    </w:p>
    <w:p w14:paraId="5D105769">
      <w:pPr>
        <w:numPr>
          <w:ilvl w:val="0"/>
          <w:numId w:val="2"/>
        </w:numPr>
        <w:ind w:left="840" w:leftChars="0" w:hanging="420" w:firstLine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  <w:r>
        <w:rPr>
          <w:rFonts w:hint="default"/>
          <w:b/>
          <w:bCs/>
          <w:color w:val="000000"/>
          <w:sz w:val="21"/>
          <w:szCs w:val="21"/>
          <w:lang w:val="en-US" w:eastAsia="zh-CN"/>
        </w:rPr>
        <w:t>从本体论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、</w:t>
      </w:r>
      <w:r>
        <w:rPr>
          <w:rFonts w:hint="default"/>
          <w:b/>
          <w:bCs/>
          <w:color w:val="000000"/>
          <w:sz w:val="21"/>
          <w:szCs w:val="21"/>
          <w:lang w:val="en-US" w:eastAsia="zh-CN"/>
        </w:rPr>
        <w:t>认识论、政治和媒体视角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明确定义艺术现实主义。</w:t>
      </w:r>
    </w:p>
    <w:p w14:paraId="4FBCF0CD"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 w14:paraId="304F3725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在后真相时代，艺术如何改变我们对现实主义的理解？</w:t>
      </w:r>
    </w:p>
    <w:p w14:paraId="7EB31040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 w14:paraId="485B0B38">
      <w:pPr>
        <w:ind w:firstLine="420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认为有必要严肃对待艺术对当代现实主义的贡献，并通过证明艺术并不只是阐释哲学理论，来介入当代关于现实主义的争论。每一章都以不同的方法论述了视觉艺术中、声音艺术、电影、科学影像和文学中的现实主义及其美学维度。</w:t>
      </w:r>
    </w:p>
    <w:p w14:paraId="486E28A5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 w14:paraId="332E3182">
      <w:pPr>
        <w:rPr>
          <w:b/>
          <w:color w:val="000000"/>
          <w:sz w:val="21"/>
          <w:szCs w:val="21"/>
        </w:rPr>
      </w:pPr>
      <w:bookmarkStart w:id="1" w:name="_GoBack"/>
      <w:bookmarkEnd w:id="1"/>
      <w:r>
        <w:rPr>
          <w:b/>
          <w:color w:val="000000"/>
          <w:sz w:val="21"/>
          <w:szCs w:val="21"/>
        </w:rPr>
        <w:t>作者简介：</w:t>
      </w:r>
    </w:p>
    <w:p w14:paraId="6D39DE9D">
      <w:pPr>
        <w:ind w:firstLine="422" w:firstLineChars="200"/>
        <w:rPr>
          <w:rFonts w:hint="eastAsia" w:ascii="宋体" w:hAnsi="宋体" w:cs="宋体"/>
          <w:b/>
          <w:color w:val="000000"/>
          <w:sz w:val="21"/>
          <w:szCs w:val="21"/>
          <w:lang w:val="en-US" w:eastAsia="zh-CN"/>
        </w:rPr>
      </w:pPr>
    </w:p>
    <w:p w14:paraId="14ACBB13">
      <w:pPr>
        <w:ind w:firstLine="422" w:firstLineChars="200"/>
        <w:rPr>
          <w:rFonts w:hint="eastAsia" w:ascii="宋体" w:hAnsi="宋体" w:cs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1"/>
          <w:szCs w:val="21"/>
          <w:lang w:val="en-US" w:eastAsia="zh-CN"/>
        </w:rPr>
        <w:t>玛丽斯·奥埃莱（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Maryse Ouellet</w:t>
      </w:r>
      <w:r>
        <w:rPr>
          <w:rFonts w:hint="eastAsia" w:ascii="宋体" w:hAnsi="宋体" w:cs="宋体"/>
          <w:b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000000"/>
          <w:sz w:val="21"/>
          <w:szCs w:val="21"/>
          <w:lang w:val="en-US" w:eastAsia="zh-CN"/>
        </w:rPr>
        <w:t>是波恩大学的艺术历史学家和博士后。</w:t>
      </w:r>
    </w:p>
    <w:p w14:paraId="2F978104">
      <w:pPr>
        <w:ind w:firstLine="422" w:firstLineChars="200"/>
        <w:rPr>
          <w:rFonts w:hint="default" w:ascii="宋体" w:hAnsi="宋体" w:cs="宋体"/>
          <w:b/>
          <w:color w:val="000000"/>
          <w:sz w:val="21"/>
          <w:szCs w:val="21"/>
          <w:lang w:val="en-US" w:eastAsia="zh-CN"/>
        </w:rPr>
      </w:pPr>
    </w:p>
    <w:p w14:paraId="64C71B92"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阿曼达·博茨克斯（Amanda Boetzkes）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是阿尔伯塔大学艺术与设计系助理教授。</w:t>
      </w:r>
    </w:p>
    <w:p w14:paraId="30FD9A6A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39FA5525"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51148737">
      <w:pPr>
        <w:widowControl w:val="0"/>
        <w:numPr>
          <w:ilvl w:val="0"/>
          <w:numId w:val="0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全书目录：</w:t>
      </w:r>
    </w:p>
    <w:p w14:paraId="7E79DFA9"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 w14:paraId="6303E3E6"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人物名录</w:t>
      </w:r>
    </w:p>
    <w:p w14:paraId="30146796"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 w14:paraId="65AB9009"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default"/>
          <w:b/>
          <w:bCs/>
          <w:color w:val="000000"/>
          <w:szCs w:val="21"/>
          <w:lang w:val="en-US" w:eastAsia="zh-CN"/>
        </w:rPr>
        <w:t>第一部分：现实主义的类型</w:t>
      </w:r>
    </w:p>
    <w:p w14:paraId="3768021B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第一章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小说现实主义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在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当代末世小说中的推测性真实性，莫妮卡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 xml:space="preserve">考普 </w:t>
      </w:r>
    </w:p>
    <w:p w14:paraId="7BBBFA15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第二章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卡维尔的现实主义：迈向类型理论，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马奎斯·克拉玛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 xml:space="preserve"> </w:t>
      </w:r>
    </w:p>
    <w:p w14:paraId="5E58F715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第三章 “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现实生活是更好的导演"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：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阿恩海姆、卓别林与讽刺的生产界限，伊恩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韦斯特根</w:t>
      </w:r>
    </w:p>
    <w:p w14:paraId="10A0D67F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第四章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真正的音乐之声，约瑟琳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贝诺伊斯特</w:t>
      </w:r>
    </w:p>
    <w:p w14:paraId="7C3D54DC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2DCDBAE8"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default"/>
          <w:b/>
          <w:bCs/>
          <w:color w:val="000000"/>
          <w:szCs w:val="21"/>
          <w:lang w:val="en-US" w:eastAsia="zh-CN"/>
        </w:rPr>
        <w:t>第二部分：现实主义的亲密关系</w:t>
      </w:r>
    </w:p>
    <w:p w14:paraId="3BEC0BE7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第五章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死亡瞬间，真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相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之地？卡拉瓦乔的死亡现实主义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，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伊泰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萨皮尔</w:t>
      </w:r>
    </w:p>
    <w:p w14:paraId="1D575AE1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第六章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随波逐流：第一性与第二性之间的亲密存在，杰夫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迪亚曼蒂</w:t>
      </w:r>
    </w:p>
    <w:p w14:paraId="706CE187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第七章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为世界发声：声音艺术与现实主义的三个视角，波林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纳德里尼</w:t>
      </w:r>
    </w:p>
    <w:p w14:paraId="6AA607F7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56BEDC52"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default"/>
          <w:b/>
          <w:bCs/>
          <w:color w:val="000000"/>
          <w:szCs w:val="21"/>
          <w:lang w:val="en-US" w:eastAsia="zh-CN"/>
        </w:rPr>
        <w:t>第三部分：真实的补救</w:t>
      </w:r>
      <w:r>
        <w:rPr>
          <w:rFonts w:hint="eastAsia"/>
          <w:b/>
          <w:bCs/>
          <w:color w:val="000000"/>
          <w:szCs w:val="21"/>
          <w:lang w:val="en-US" w:eastAsia="zh-CN"/>
        </w:rPr>
        <w:t>措施</w:t>
      </w:r>
    </w:p>
    <w:p w14:paraId="1F21EBDA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第八章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当代因纽特人艺术中的现实主义再现，阿曼达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布茨克斯</w:t>
      </w:r>
    </w:p>
    <w:p w14:paraId="061F8E77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第九章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模式识别：粒子物理学中的艺术和可视化形式，延斯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施罗特</w:t>
      </w:r>
    </w:p>
    <w:p w14:paraId="362F7278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第十章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盲点的形状：制作现实的框架，达格马拉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根达</w:t>
      </w:r>
    </w:p>
    <w:p w14:paraId="5F10A2CF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第十一章 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通过不透明揭示真相，或如何在后真相时代揭示真相，玛丽斯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奥埃莱</w:t>
      </w:r>
    </w:p>
    <w:p w14:paraId="64A6E138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31F48309"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索引</w:t>
      </w:r>
    </w:p>
    <w:p w14:paraId="5E85C61A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57BE79D0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16383AAD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 w14:paraId="6554C271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 w14:paraId="4D999841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 w14:paraId="0B0C4DEE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 w14:paraId="6041D483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 w14:paraId="70627CCF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 w14:paraId="4C302580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5D35F602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2FABF3D1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60A3DE93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3CCA0F44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209197D4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0469C159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 w14:paraId="1290A31A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FD7E"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CE519D"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 w14:paraId="499DF05F">
    <w:pPr>
      <w:jc w:val="center"/>
      <w:rPr>
        <w:rFonts w:hint="eastAsia" w:ascii="方正姚体" w:eastAsia="方正姚体"/>
        <w:sz w:val="18"/>
      </w:rPr>
    </w:pPr>
  </w:p>
  <w:p w14:paraId="681498E8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 w14:paraId="59C26327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 w14:paraId="3F07D89D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 w14:paraId="573CC44D">
    <w:pPr>
      <w:pStyle w:val="4"/>
      <w:jc w:val="center"/>
      <w:rPr>
        <w:rFonts w:hint="eastAsia" w:eastAsia="方正姚体"/>
      </w:rPr>
    </w:pPr>
  </w:p>
  <w:p w14:paraId="38F32726"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69512BE"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BE75CE"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750CA6"/>
    <w:multiLevelType w:val="singleLevel"/>
    <w:tmpl w:val="67750CA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7D50298"/>
    <w:rsid w:val="2AEF21B8"/>
    <w:rsid w:val="2E6B7CCE"/>
    <w:rsid w:val="2EBD695D"/>
    <w:rsid w:val="320E767C"/>
    <w:rsid w:val="36313718"/>
    <w:rsid w:val="36E47851"/>
    <w:rsid w:val="390D5674"/>
    <w:rsid w:val="401410AB"/>
    <w:rsid w:val="417A5619"/>
    <w:rsid w:val="41C84631"/>
    <w:rsid w:val="42EB6719"/>
    <w:rsid w:val="45A8273D"/>
    <w:rsid w:val="464657A8"/>
    <w:rsid w:val="486F4989"/>
    <w:rsid w:val="4A267C16"/>
    <w:rsid w:val="4AC53631"/>
    <w:rsid w:val="51AF41D9"/>
    <w:rsid w:val="53967E15"/>
    <w:rsid w:val="56D04DCC"/>
    <w:rsid w:val="57192EB7"/>
    <w:rsid w:val="5A7E4E63"/>
    <w:rsid w:val="5AF520EA"/>
    <w:rsid w:val="5DB6603E"/>
    <w:rsid w:val="5FDA4C96"/>
    <w:rsid w:val="600277DE"/>
    <w:rsid w:val="61A01029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869DE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867</Words>
  <Characters>1234</Characters>
  <Lines>25</Lines>
  <Paragraphs>7</Paragraphs>
  <TotalTime>59</TotalTime>
  <ScaleCrop>false</ScaleCrop>
  <LinksUpToDate>false</LinksUpToDate>
  <CharactersWithSpaces>1284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2024-07-15T02:45:25Z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6AAE41CF4F6943E4A6E2725DD66D40DE_13</vt:lpwstr>
  </property>
</Properties>
</file>