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2C5A94" w:rsidP="00774233">
      <w:pPr>
        <w:tabs>
          <w:tab w:val="left" w:pos="341"/>
          <w:tab w:val="left" w:pos="5235"/>
        </w:tabs>
        <w:rPr>
          <w:b/>
          <w:bCs/>
          <w:color w:val="000000"/>
          <w:szCs w:val="21"/>
        </w:rP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12065</wp:posOffset>
            </wp:positionV>
            <wp:extent cx="1270000" cy="1905000"/>
            <wp:effectExtent l="0" t="0" r="6350" b="0"/>
            <wp:wrapSquare wrapText="bothSides"/>
            <wp:docPr id="8" name="图片 8" descr="Philosophical Health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ilosophical Health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6B08EF" w:rsidRPr="006B08EF">
        <w:rPr>
          <w:rFonts w:hint="eastAsia"/>
          <w:b/>
          <w:bCs/>
          <w:color w:val="000000"/>
          <w:szCs w:val="21"/>
        </w:rPr>
        <w:t>哲学健康：</w:t>
      </w:r>
      <w:r w:rsidR="006B08EF">
        <w:rPr>
          <w:rFonts w:hint="eastAsia"/>
          <w:b/>
          <w:bCs/>
          <w:color w:val="000000"/>
          <w:szCs w:val="21"/>
        </w:rPr>
        <w:t>实用</w:t>
      </w:r>
      <w:r>
        <w:rPr>
          <w:rFonts w:hint="eastAsia"/>
          <w:b/>
          <w:bCs/>
          <w:color w:val="000000"/>
          <w:szCs w:val="21"/>
        </w:rPr>
        <w:t>指南</w:t>
      </w:r>
      <w:r w:rsidR="009736A9">
        <w:rPr>
          <w:rFonts w:hint="eastAsia"/>
          <w:b/>
          <w:bCs/>
          <w:color w:val="000000"/>
          <w:szCs w:val="21"/>
        </w:rPr>
        <w:t>》</w:t>
      </w:r>
    </w:p>
    <w:p w:rsidR="00774233" w:rsidRPr="00774233" w:rsidRDefault="00774233" w:rsidP="0045774E">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5774E" w:rsidRPr="0045774E">
        <w:rPr>
          <w:b/>
          <w:bCs/>
          <w:color w:val="000000"/>
          <w:szCs w:val="21"/>
        </w:rPr>
        <w:t>PHILOSOPHICAL HEALTH</w:t>
      </w:r>
      <w:r w:rsidR="0045774E">
        <w:rPr>
          <w:b/>
          <w:bCs/>
          <w:color w:val="000000"/>
          <w:szCs w:val="21"/>
        </w:rPr>
        <w:t xml:space="preserve">: </w:t>
      </w:r>
      <w:r w:rsidR="0045774E" w:rsidRPr="0045774E">
        <w:rPr>
          <w:b/>
          <w:bCs/>
          <w:color w:val="000000"/>
          <w:szCs w:val="21"/>
        </w:rPr>
        <w:t>A Practical Introduction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6B08EF" w:rsidRPr="006B08EF">
        <w:rPr>
          <w:b/>
          <w:bCs/>
          <w:color w:val="000000"/>
          <w:szCs w:val="21"/>
        </w:rPr>
        <w:t>Luis de Miranda</w:t>
      </w:r>
      <w:hyperlink r:id="rId8" w:history="1"/>
    </w:p>
    <w:p w:rsidR="00774233" w:rsidRPr="00F02B53" w:rsidRDefault="00774233" w:rsidP="00F02B53">
      <w:pPr>
        <w:tabs>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02B53" w:rsidRPr="00F02B53">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C5A94">
        <w:rPr>
          <w:b/>
          <w:bCs/>
          <w:color w:val="000000"/>
          <w:szCs w:val="21"/>
        </w:rPr>
        <w:t>216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5B5795">
        <w:rPr>
          <w:b/>
          <w:bCs/>
          <w:color w:val="000000"/>
          <w:szCs w:val="21"/>
        </w:rPr>
        <w:t>2</w:t>
      </w:r>
      <w:r w:rsidR="002C5A94">
        <w:rPr>
          <w:b/>
          <w:bCs/>
          <w:color w:val="000000"/>
          <w:szCs w:val="21"/>
        </w:rPr>
        <w:t>4</w:t>
      </w:r>
      <w:r w:rsidRPr="00774233">
        <w:rPr>
          <w:b/>
          <w:bCs/>
          <w:color w:val="000000"/>
          <w:szCs w:val="21"/>
        </w:rPr>
        <w:t>年</w:t>
      </w:r>
      <w:r w:rsidR="002C5A94">
        <w:rPr>
          <w:b/>
          <w:bCs/>
          <w:color w:val="000000"/>
          <w:szCs w:val="21"/>
        </w:rPr>
        <w:t>8</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02B53">
        <w:rPr>
          <w:rFonts w:hint="eastAsia"/>
          <w:b/>
          <w:bCs/>
          <w:szCs w:val="21"/>
        </w:rPr>
        <w:t>大众哲学</w:t>
      </w:r>
    </w:p>
    <w:p w:rsidR="00F02B53" w:rsidRPr="00774233" w:rsidRDefault="00F02B53" w:rsidP="00F02B53">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C5A94" w:rsidRPr="002C5A94" w:rsidRDefault="002C5A94" w:rsidP="002C5A94">
      <w:pPr>
        <w:ind w:firstLineChars="200" w:firstLine="420"/>
        <w:rPr>
          <w:rFonts w:hint="eastAsia"/>
          <w:bCs/>
          <w:color w:val="000000"/>
          <w:szCs w:val="21"/>
        </w:rPr>
      </w:pPr>
      <w:r w:rsidRPr="002C5A94">
        <w:rPr>
          <w:rFonts w:hint="eastAsia"/>
          <w:bCs/>
          <w:color w:val="000000"/>
          <w:szCs w:val="21"/>
        </w:rPr>
        <w:t>在健康的身体与和谐的环境中成为一个心智健全的人意味着什么？这本引人入胜的哲学健康新领域导论由其先驱者撰写，介绍了该学科的核心原则。它用清晰优雅的</w:t>
      </w:r>
      <w:r>
        <w:rPr>
          <w:rFonts w:hint="eastAsia"/>
          <w:bCs/>
          <w:color w:val="000000"/>
          <w:szCs w:val="21"/>
        </w:rPr>
        <w:t>文字</w:t>
      </w:r>
      <w:r w:rsidRPr="002C5A94">
        <w:rPr>
          <w:rFonts w:hint="eastAsia"/>
          <w:bCs/>
          <w:color w:val="000000"/>
          <w:szCs w:val="21"/>
        </w:rPr>
        <w:t>解释了反思性的感知实践如何在六种存在感（身体、自我、归属感、可能性、目的和哲学感）之间创造出一种</w:t>
      </w:r>
      <w:r>
        <w:rPr>
          <w:rFonts w:hint="eastAsia"/>
          <w:bCs/>
          <w:color w:val="000000"/>
          <w:szCs w:val="21"/>
        </w:rPr>
        <w:t>动态</w:t>
      </w:r>
      <w:r w:rsidRPr="002C5A94">
        <w:rPr>
          <w:rFonts w:hint="eastAsia"/>
          <w:bCs/>
          <w:color w:val="000000"/>
          <w:szCs w:val="21"/>
        </w:rPr>
        <w:t>平衡。</w:t>
      </w:r>
    </w:p>
    <w:p w:rsidR="002C5A94" w:rsidRPr="002C5A94" w:rsidRDefault="002C5A94" w:rsidP="002C5A94">
      <w:pPr>
        <w:ind w:firstLineChars="200" w:firstLine="420"/>
        <w:rPr>
          <w:bCs/>
          <w:color w:val="000000"/>
          <w:szCs w:val="21"/>
        </w:rPr>
      </w:pPr>
    </w:p>
    <w:p w:rsidR="002C5A94" w:rsidRPr="002C5A94" w:rsidRDefault="002C5A94" w:rsidP="002C5A94">
      <w:pPr>
        <w:ind w:firstLineChars="200" w:firstLine="420"/>
        <w:rPr>
          <w:rFonts w:hint="eastAsia"/>
          <w:bCs/>
          <w:color w:val="000000"/>
          <w:szCs w:val="21"/>
        </w:rPr>
      </w:pPr>
      <w:r w:rsidRPr="002C5A94">
        <w:rPr>
          <w:rFonts w:hint="eastAsia"/>
          <w:bCs/>
          <w:color w:val="000000"/>
          <w:szCs w:val="21"/>
        </w:rPr>
        <w:t>路易斯·德米兰达（</w:t>
      </w:r>
      <w:r w:rsidRPr="002C5A94">
        <w:rPr>
          <w:rFonts w:hint="eastAsia"/>
          <w:bCs/>
          <w:color w:val="000000"/>
          <w:szCs w:val="21"/>
        </w:rPr>
        <w:t>Luis de Miranda</w:t>
      </w:r>
      <w:r w:rsidRPr="002C5A94">
        <w:rPr>
          <w:rFonts w:hint="eastAsia"/>
          <w:bCs/>
          <w:color w:val="000000"/>
          <w:szCs w:val="21"/>
        </w:rPr>
        <w:t>）</w:t>
      </w:r>
      <w:r w:rsidRPr="002C5A94">
        <w:rPr>
          <w:rFonts w:hint="eastAsia"/>
          <w:bCs/>
          <w:color w:val="000000"/>
          <w:szCs w:val="21"/>
        </w:rPr>
        <w:t>从近十年的哲学</w:t>
      </w:r>
      <w:r>
        <w:rPr>
          <w:rFonts w:hint="eastAsia"/>
          <w:bCs/>
          <w:color w:val="000000"/>
          <w:szCs w:val="21"/>
        </w:rPr>
        <w:t>咨询</w:t>
      </w:r>
      <w:r w:rsidRPr="002C5A94">
        <w:rPr>
          <w:rFonts w:hint="eastAsia"/>
          <w:bCs/>
          <w:color w:val="000000"/>
          <w:szCs w:val="21"/>
        </w:rPr>
        <w:t>实践中获得灵感，为个人、团体、机构、非政府组织和企业提供了一个务实的开放系统，该系统</w:t>
      </w:r>
      <w:r>
        <w:rPr>
          <w:rFonts w:hint="eastAsia"/>
          <w:bCs/>
          <w:color w:val="000000"/>
          <w:szCs w:val="21"/>
        </w:rPr>
        <w:t>得到了</w:t>
      </w:r>
      <w:r w:rsidRPr="002C5A94">
        <w:rPr>
          <w:rFonts w:hint="eastAsia"/>
          <w:bCs/>
          <w:color w:val="000000"/>
          <w:szCs w:val="21"/>
        </w:rPr>
        <w:t>心理</w:t>
      </w:r>
      <w:r>
        <w:rPr>
          <w:rFonts w:hint="eastAsia"/>
          <w:bCs/>
          <w:color w:val="000000"/>
          <w:szCs w:val="21"/>
        </w:rPr>
        <w:t>学</w:t>
      </w:r>
      <w:r w:rsidRPr="002C5A94">
        <w:rPr>
          <w:rFonts w:hint="eastAsia"/>
          <w:bCs/>
          <w:color w:val="000000"/>
          <w:szCs w:val="21"/>
        </w:rPr>
        <w:t>科学、各种哲学传统或当代理论的证据支持，还有来自世界</w:t>
      </w:r>
      <w:r w:rsidR="00647A15">
        <w:rPr>
          <w:rFonts w:hint="eastAsia"/>
          <w:bCs/>
          <w:color w:val="000000"/>
          <w:szCs w:val="21"/>
        </w:rPr>
        <w:t>各地</w:t>
      </w:r>
      <w:r w:rsidRPr="002C5A94">
        <w:rPr>
          <w:rFonts w:hint="eastAsia"/>
          <w:bCs/>
          <w:color w:val="000000"/>
          <w:szCs w:val="21"/>
        </w:rPr>
        <w:t>智慧的引人入胜的真实故事。</w:t>
      </w:r>
    </w:p>
    <w:p w:rsidR="002C5A94" w:rsidRPr="002C5A94" w:rsidRDefault="002C5A94" w:rsidP="002C5A94">
      <w:pPr>
        <w:ind w:firstLineChars="200" w:firstLine="420"/>
        <w:rPr>
          <w:bCs/>
          <w:color w:val="000000"/>
          <w:szCs w:val="21"/>
        </w:rPr>
      </w:pPr>
    </w:p>
    <w:p w:rsidR="00F02B53" w:rsidRPr="00F02B53" w:rsidRDefault="00647A15" w:rsidP="002C5A94">
      <w:pPr>
        <w:ind w:firstLineChars="200" w:firstLine="420"/>
        <w:rPr>
          <w:rFonts w:hint="eastAsia"/>
          <w:bCs/>
          <w:color w:val="000000"/>
          <w:szCs w:val="21"/>
        </w:rPr>
      </w:pPr>
      <w:r>
        <w:rPr>
          <w:rFonts w:hint="eastAsia"/>
          <w:bCs/>
          <w:color w:val="000000"/>
          <w:szCs w:val="21"/>
        </w:rPr>
        <w:t>显然，</w:t>
      </w:r>
      <w:r w:rsidR="002C5A94" w:rsidRPr="002C5A94">
        <w:rPr>
          <w:rFonts w:hint="eastAsia"/>
          <w:bCs/>
          <w:color w:val="000000"/>
          <w:szCs w:val="21"/>
        </w:rPr>
        <w:t>行动中的意义是哲学未来的新方向，哲学在这里被重新发现，成为所有学科和生活方式中负责任</w:t>
      </w:r>
      <w:r>
        <w:rPr>
          <w:rFonts w:hint="eastAsia"/>
          <w:bCs/>
          <w:color w:val="000000"/>
          <w:szCs w:val="21"/>
        </w:rPr>
        <w:t>且</w:t>
      </w:r>
      <w:r w:rsidR="002C5A94" w:rsidRPr="002C5A94">
        <w:rPr>
          <w:rFonts w:hint="eastAsia"/>
          <w:bCs/>
          <w:color w:val="000000"/>
          <w:szCs w:val="21"/>
        </w:rPr>
        <w:t>实用的大姐大（</w:t>
      </w:r>
      <w:r w:rsidRPr="00647A15">
        <w:rPr>
          <w:rFonts w:hint="eastAsia"/>
          <w:bCs/>
          <w:color w:val="000000"/>
          <w:szCs w:val="21"/>
        </w:rPr>
        <w:t>甚至是女王</w:t>
      </w:r>
      <w:r>
        <w:rPr>
          <w:rFonts w:hint="eastAsia"/>
          <w:bCs/>
          <w:color w:val="000000"/>
          <w:szCs w:val="21"/>
        </w:rPr>
        <w:t>）。国际哲学健康运动是全球和地方对世界因无意识过程和未经审视</w:t>
      </w:r>
      <w:r w:rsidR="002C5A94" w:rsidRPr="002C5A94">
        <w:rPr>
          <w:rFonts w:hint="eastAsia"/>
          <w:bCs/>
          <w:color w:val="000000"/>
          <w:szCs w:val="21"/>
        </w:rPr>
        <w:t>行为而陷入的整体混乱所做出的期待已久的回应。这本书向我们展示了如何本着兼容并蓄、多元一体的精神，最终创造一个和谐、丰富、多元的地球文明。</w:t>
      </w:r>
    </w:p>
    <w:p w:rsidR="00C653E3" w:rsidRPr="00C653E3" w:rsidRDefault="00C653E3" w:rsidP="002D398B">
      <w:pPr>
        <w:rPr>
          <w:bCs/>
          <w:color w:val="000000"/>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647A15" w:rsidRDefault="00647A15" w:rsidP="00647A15">
      <w:pPr>
        <w:pStyle w:val="ac"/>
        <w:numPr>
          <w:ilvl w:val="0"/>
          <w:numId w:val="25"/>
        </w:numPr>
        <w:ind w:firstLineChars="0"/>
        <w:rPr>
          <w:bCs/>
          <w:color w:val="000000"/>
          <w:szCs w:val="21"/>
        </w:rPr>
      </w:pPr>
      <w:r w:rsidRPr="00647A15">
        <w:rPr>
          <w:rFonts w:hint="eastAsia"/>
          <w:bCs/>
          <w:color w:val="000000"/>
          <w:szCs w:val="21"/>
        </w:rPr>
        <w:t>哲学健康这一新的跨学科国际领域的第一本入门读物</w:t>
      </w:r>
    </w:p>
    <w:p w:rsidR="00647A15" w:rsidRPr="00647A15" w:rsidRDefault="00647A15" w:rsidP="00647A15">
      <w:pPr>
        <w:pStyle w:val="ac"/>
        <w:ind w:left="420" w:firstLineChars="0" w:firstLine="0"/>
        <w:rPr>
          <w:rFonts w:hint="eastAsia"/>
          <w:bCs/>
          <w:color w:val="000000"/>
          <w:szCs w:val="21"/>
        </w:rPr>
      </w:pPr>
    </w:p>
    <w:p w:rsidR="00647A15" w:rsidRDefault="00647A15" w:rsidP="00647A15">
      <w:pPr>
        <w:pStyle w:val="ac"/>
        <w:numPr>
          <w:ilvl w:val="0"/>
          <w:numId w:val="25"/>
        </w:numPr>
        <w:ind w:firstLineChars="0"/>
        <w:rPr>
          <w:bCs/>
          <w:color w:val="000000"/>
          <w:szCs w:val="21"/>
        </w:rPr>
      </w:pPr>
      <w:r w:rsidRPr="00647A15">
        <w:rPr>
          <w:rFonts w:hint="eastAsia"/>
          <w:bCs/>
          <w:color w:val="000000"/>
          <w:szCs w:val="21"/>
        </w:rPr>
        <w:t>由国际哲学健康运动（</w:t>
      </w:r>
      <w:r w:rsidRPr="00647A15">
        <w:rPr>
          <w:rFonts w:hint="eastAsia"/>
          <w:bCs/>
          <w:color w:val="000000"/>
          <w:szCs w:val="21"/>
        </w:rPr>
        <w:t>https://philosophical.health</w:t>
      </w:r>
      <w:r w:rsidRPr="00647A15">
        <w:rPr>
          <w:rFonts w:hint="eastAsia"/>
          <w:bCs/>
          <w:color w:val="000000"/>
          <w:szCs w:val="21"/>
        </w:rPr>
        <w:t>）的创始人撰写，他从教学角度解释了哲学健康的要素，并将其成功应用于实际咨询或临床案例中</w:t>
      </w:r>
    </w:p>
    <w:p w:rsidR="00647A15" w:rsidRPr="00647A15" w:rsidRDefault="00647A15" w:rsidP="00647A15">
      <w:pPr>
        <w:pStyle w:val="ac"/>
        <w:rPr>
          <w:rFonts w:hint="eastAsia"/>
          <w:bCs/>
          <w:color w:val="000000"/>
          <w:szCs w:val="21"/>
        </w:rPr>
      </w:pPr>
    </w:p>
    <w:p w:rsidR="0041597B" w:rsidRPr="00254BE6" w:rsidRDefault="00647A15" w:rsidP="00647A15">
      <w:pPr>
        <w:pStyle w:val="ac"/>
        <w:numPr>
          <w:ilvl w:val="0"/>
          <w:numId w:val="25"/>
        </w:numPr>
        <w:ind w:firstLineChars="0"/>
        <w:rPr>
          <w:bCs/>
          <w:color w:val="000000"/>
          <w:szCs w:val="21"/>
        </w:rPr>
      </w:pPr>
      <w:r w:rsidRPr="00647A15">
        <w:rPr>
          <w:rFonts w:hint="eastAsia"/>
          <w:bCs/>
          <w:color w:val="000000"/>
          <w:szCs w:val="21"/>
        </w:rPr>
        <w:t>每一章都从不同角度阐述了其他文化或大陆的不同感官，并参考了西方、非洲和亚洲的哲</w:t>
      </w:r>
      <w:r w:rsidRPr="00647A15">
        <w:rPr>
          <w:rFonts w:hint="eastAsia"/>
          <w:bCs/>
          <w:color w:val="000000"/>
          <w:szCs w:val="21"/>
        </w:rPr>
        <w:lastRenderedPageBreak/>
        <w:t>学传统</w:t>
      </w:r>
    </w:p>
    <w:p w:rsidR="00981D4C" w:rsidRDefault="00981D4C" w:rsidP="00981D4C">
      <w:pPr>
        <w:rPr>
          <w:szCs w:val="21"/>
        </w:rPr>
      </w:pPr>
    </w:p>
    <w:p w:rsidR="009F0595" w:rsidRPr="00752171"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647A15" w:rsidRDefault="00647A15" w:rsidP="00647A15">
      <w:pPr>
        <w:ind w:firstLineChars="200" w:firstLine="420"/>
        <w:rPr>
          <w:noProof/>
        </w:rPr>
      </w:pPr>
      <w:r>
        <w:rPr>
          <w:noProof/>
        </w:rPr>
        <w:drawing>
          <wp:anchor distT="0" distB="0" distL="114300" distR="114300" simplePos="0" relativeHeight="251663360" behindDoc="0" locked="0" layoutInCell="1" allowOverlap="1" wp14:anchorId="29FB7C7A" wp14:editId="2FE32877">
            <wp:simplePos x="0" y="0"/>
            <wp:positionH relativeFrom="margin">
              <wp:align>left</wp:align>
            </wp:positionH>
            <wp:positionV relativeFrom="paragraph">
              <wp:posOffset>8255</wp:posOffset>
            </wp:positionV>
            <wp:extent cx="589280" cy="590550"/>
            <wp:effectExtent l="0" t="0" r="1270" b="0"/>
            <wp:wrapSquare wrapText="bothSides"/>
            <wp:docPr id="5" name="图片 5" descr="Luis de Mi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s de Mira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591" cy="598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171">
        <w:rPr>
          <w:rFonts w:hint="eastAsia"/>
          <w:b/>
          <w:noProof/>
        </w:rPr>
        <w:t>路易斯</w:t>
      </w:r>
      <w:r>
        <w:rPr>
          <w:rFonts w:hint="eastAsia"/>
          <w:b/>
          <w:noProof/>
        </w:rPr>
        <w:t>·</w:t>
      </w:r>
      <w:r w:rsidRPr="00752171">
        <w:rPr>
          <w:rFonts w:hint="eastAsia"/>
          <w:b/>
          <w:noProof/>
        </w:rPr>
        <w:t>德米兰达（</w:t>
      </w:r>
      <w:r w:rsidRPr="00752171">
        <w:rPr>
          <w:rFonts w:hint="eastAsia"/>
          <w:b/>
          <w:noProof/>
        </w:rPr>
        <w:t>Luis de Miranda</w:t>
      </w:r>
      <w:r w:rsidRPr="00752171">
        <w:rPr>
          <w:rFonts w:hint="eastAsia"/>
          <w:b/>
          <w:noProof/>
        </w:rPr>
        <w:t>）博士</w:t>
      </w:r>
      <w:r w:rsidRPr="00752171">
        <w:rPr>
          <w:rFonts w:hint="eastAsia"/>
          <w:noProof/>
        </w:rPr>
        <w:t>是芬兰图尔库大学哲学系高级研究员和图尔库高级研究所（</w:t>
      </w:r>
      <w:r w:rsidRPr="00752171">
        <w:rPr>
          <w:rFonts w:hint="eastAsia"/>
          <w:noProof/>
        </w:rPr>
        <w:t>TIAS</w:t>
      </w:r>
      <w:r w:rsidRPr="00752171">
        <w:rPr>
          <w:rFonts w:hint="eastAsia"/>
          <w:noProof/>
        </w:rPr>
        <w:t>）研究员。他是个人和机构或公司的哲学顾问，也是瑞典斯德哥尔摩经济学院的附属研究员和国际哲学健康网络的创始人。</w:t>
      </w:r>
    </w:p>
    <w:p w:rsidR="000A2FF0" w:rsidRPr="00647A15" w:rsidRDefault="000A2FF0" w:rsidP="000A2FF0">
      <w:pPr>
        <w:rPr>
          <w:noProof/>
        </w:rPr>
      </w:pPr>
    </w:p>
    <w:p w:rsidR="000A2FF0" w:rsidRDefault="000A2FF0" w:rsidP="000A2FF0">
      <w:pPr>
        <w:rPr>
          <w:noProof/>
        </w:rPr>
      </w:pPr>
    </w:p>
    <w:p w:rsidR="00283C7C" w:rsidRPr="00F66D08" w:rsidRDefault="00647A15" w:rsidP="00F66D08">
      <w:pPr>
        <w:jc w:val="center"/>
        <w:rPr>
          <w:b/>
          <w:bCs/>
          <w:color w:val="000000"/>
          <w:sz w:val="30"/>
          <w:szCs w:val="30"/>
        </w:rPr>
      </w:pPr>
      <w:r w:rsidRPr="00647A15">
        <w:rPr>
          <w:rFonts w:hint="eastAsia"/>
          <w:b/>
          <w:bCs/>
          <w:color w:val="000000"/>
          <w:sz w:val="30"/>
          <w:szCs w:val="30"/>
        </w:rPr>
        <w:t>《哲学健康：实用指南》</w:t>
      </w:r>
    </w:p>
    <w:p w:rsidR="00F66D08" w:rsidRDefault="00F66D08" w:rsidP="00F66D08">
      <w:pPr>
        <w:jc w:val="center"/>
        <w:rPr>
          <w:b/>
          <w:bCs/>
          <w:color w:val="000000"/>
          <w:szCs w:val="21"/>
        </w:rPr>
      </w:pPr>
    </w:p>
    <w:p w:rsidR="00647A15" w:rsidRDefault="00647A15" w:rsidP="00647A15">
      <w:pPr>
        <w:jc w:val="center"/>
        <w:rPr>
          <w:rFonts w:hint="eastAsia"/>
          <w:noProof/>
        </w:rPr>
      </w:pPr>
      <w:r>
        <w:rPr>
          <w:rFonts w:hint="eastAsia"/>
          <w:noProof/>
        </w:rPr>
        <w:t>前言</w:t>
      </w:r>
    </w:p>
    <w:p w:rsidR="00647A15" w:rsidRDefault="00647A15" w:rsidP="00647A15">
      <w:pPr>
        <w:jc w:val="center"/>
        <w:rPr>
          <w:rFonts w:hint="eastAsia"/>
          <w:noProof/>
        </w:rPr>
      </w:pPr>
      <w:r>
        <w:rPr>
          <w:rFonts w:hint="eastAsia"/>
          <w:noProof/>
        </w:rPr>
        <w:t>致谢</w:t>
      </w:r>
    </w:p>
    <w:p w:rsidR="00647A15" w:rsidRDefault="00647A15" w:rsidP="00647A15">
      <w:pPr>
        <w:jc w:val="center"/>
        <w:rPr>
          <w:noProof/>
        </w:rPr>
      </w:pPr>
    </w:p>
    <w:p w:rsidR="00647A15" w:rsidRDefault="00647A15" w:rsidP="00647A15">
      <w:pPr>
        <w:jc w:val="center"/>
        <w:rPr>
          <w:rFonts w:hint="eastAsia"/>
          <w:noProof/>
        </w:rPr>
      </w:pPr>
      <w:r>
        <w:rPr>
          <w:rFonts w:hint="eastAsia"/>
          <w:noProof/>
        </w:rPr>
        <w:t>序言：介绍哲学健康</w:t>
      </w:r>
    </w:p>
    <w:p w:rsidR="00647A15" w:rsidRDefault="00647A15" w:rsidP="00647A15">
      <w:pPr>
        <w:jc w:val="center"/>
        <w:rPr>
          <w:noProof/>
        </w:rPr>
      </w:pPr>
      <w:bookmarkStart w:id="0" w:name="_GoBack"/>
      <w:bookmarkEnd w:id="0"/>
    </w:p>
    <w:p w:rsidR="00647A15" w:rsidRDefault="00647A15" w:rsidP="00647A15">
      <w:pPr>
        <w:jc w:val="center"/>
        <w:rPr>
          <w:rFonts w:hint="eastAsia"/>
          <w:noProof/>
        </w:rPr>
      </w:pPr>
      <w:r>
        <w:rPr>
          <w:rFonts w:hint="eastAsia"/>
          <w:noProof/>
        </w:rPr>
        <w:t xml:space="preserve">1. </w:t>
      </w:r>
      <w:r>
        <w:rPr>
          <w:rFonts w:hint="eastAsia"/>
          <w:noProof/>
        </w:rPr>
        <w:t>身体感官</w:t>
      </w:r>
    </w:p>
    <w:p w:rsidR="00647A15" w:rsidRDefault="00647A15" w:rsidP="00647A15">
      <w:pPr>
        <w:jc w:val="center"/>
        <w:rPr>
          <w:rFonts w:hint="eastAsia"/>
          <w:noProof/>
        </w:rPr>
      </w:pPr>
      <w:r>
        <w:rPr>
          <w:rFonts w:hint="eastAsia"/>
          <w:noProof/>
        </w:rPr>
        <w:t xml:space="preserve">2. </w:t>
      </w:r>
      <w:r>
        <w:rPr>
          <w:rFonts w:hint="eastAsia"/>
          <w:noProof/>
        </w:rPr>
        <w:t>自我意识</w:t>
      </w:r>
    </w:p>
    <w:p w:rsidR="00647A15" w:rsidRDefault="00647A15" w:rsidP="00647A15">
      <w:pPr>
        <w:jc w:val="center"/>
        <w:rPr>
          <w:rFonts w:hint="eastAsia"/>
          <w:noProof/>
        </w:rPr>
      </w:pPr>
      <w:r>
        <w:rPr>
          <w:rFonts w:hint="eastAsia"/>
          <w:noProof/>
        </w:rPr>
        <w:t xml:space="preserve">3. </w:t>
      </w:r>
      <w:r>
        <w:rPr>
          <w:rFonts w:hint="eastAsia"/>
          <w:noProof/>
        </w:rPr>
        <w:t>归属感</w:t>
      </w:r>
    </w:p>
    <w:p w:rsidR="00647A15" w:rsidRDefault="00647A15" w:rsidP="00647A15">
      <w:pPr>
        <w:jc w:val="center"/>
        <w:rPr>
          <w:rFonts w:hint="eastAsia"/>
          <w:noProof/>
        </w:rPr>
      </w:pPr>
      <w:r>
        <w:rPr>
          <w:rFonts w:hint="eastAsia"/>
          <w:noProof/>
        </w:rPr>
        <w:t xml:space="preserve">4. </w:t>
      </w:r>
      <w:r>
        <w:rPr>
          <w:rFonts w:hint="eastAsia"/>
          <w:noProof/>
        </w:rPr>
        <w:t>可能感</w:t>
      </w:r>
    </w:p>
    <w:p w:rsidR="00647A15" w:rsidRDefault="00647A15" w:rsidP="00647A15">
      <w:pPr>
        <w:jc w:val="center"/>
        <w:rPr>
          <w:rFonts w:hint="eastAsia"/>
          <w:noProof/>
        </w:rPr>
      </w:pPr>
      <w:r>
        <w:rPr>
          <w:rFonts w:hint="eastAsia"/>
          <w:noProof/>
        </w:rPr>
        <w:t xml:space="preserve">5. </w:t>
      </w:r>
      <w:r>
        <w:rPr>
          <w:rFonts w:hint="eastAsia"/>
          <w:noProof/>
        </w:rPr>
        <w:t>目标感</w:t>
      </w:r>
    </w:p>
    <w:p w:rsidR="00647A15" w:rsidRDefault="00647A15" w:rsidP="00647A15">
      <w:pPr>
        <w:jc w:val="center"/>
        <w:rPr>
          <w:rFonts w:hint="eastAsia"/>
          <w:noProof/>
        </w:rPr>
      </w:pPr>
      <w:r>
        <w:rPr>
          <w:rFonts w:hint="eastAsia"/>
          <w:noProof/>
        </w:rPr>
        <w:t xml:space="preserve">6. </w:t>
      </w:r>
      <w:r>
        <w:rPr>
          <w:rFonts w:hint="eastAsia"/>
          <w:noProof/>
        </w:rPr>
        <w:t>哲学感</w:t>
      </w:r>
    </w:p>
    <w:p w:rsidR="00647A15" w:rsidRDefault="00647A15" w:rsidP="00647A15">
      <w:pPr>
        <w:jc w:val="center"/>
        <w:rPr>
          <w:noProof/>
        </w:rPr>
      </w:pPr>
    </w:p>
    <w:p w:rsidR="00647A15" w:rsidRDefault="00647A15" w:rsidP="00647A15">
      <w:pPr>
        <w:jc w:val="center"/>
        <w:rPr>
          <w:rFonts w:hint="eastAsia"/>
          <w:noProof/>
        </w:rPr>
      </w:pPr>
      <w:r>
        <w:rPr>
          <w:rFonts w:hint="eastAsia"/>
          <w:noProof/>
        </w:rPr>
        <w:t>后记：哲学实践的五项原则</w:t>
      </w:r>
    </w:p>
    <w:p w:rsidR="00647A15" w:rsidRDefault="00647A15" w:rsidP="00647A15">
      <w:pPr>
        <w:jc w:val="center"/>
        <w:rPr>
          <w:noProof/>
        </w:rPr>
      </w:pPr>
    </w:p>
    <w:p w:rsidR="00647A15" w:rsidRDefault="00647A15" w:rsidP="00647A15">
      <w:pPr>
        <w:jc w:val="center"/>
        <w:rPr>
          <w:rFonts w:hint="eastAsia"/>
          <w:noProof/>
        </w:rPr>
      </w:pPr>
      <w:r>
        <w:rPr>
          <w:rFonts w:hint="eastAsia"/>
          <w:noProof/>
        </w:rPr>
        <w:t>参考书目</w:t>
      </w:r>
    </w:p>
    <w:p w:rsidR="00F66D08" w:rsidRDefault="00647A15" w:rsidP="00647A15">
      <w:pPr>
        <w:jc w:val="center"/>
        <w:rPr>
          <w:noProof/>
        </w:rPr>
      </w:pPr>
      <w:r>
        <w:rPr>
          <w:rFonts w:hint="eastAsia"/>
          <w:noProof/>
        </w:rPr>
        <w:t>索引</w:t>
      </w:r>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850" w:rsidRDefault="006B1850">
      <w:r>
        <w:separator/>
      </w:r>
    </w:p>
  </w:endnote>
  <w:endnote w:type="continuationSeparator" w:id="0">
    <w:p w:rsidR="006B1850" w:rsidRDefault="006B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850" w:rsidRDefault="006B1850">
      <w:r>
        <w:separator/>
      </w:r>
    </w:p>
  </w:footnote>
  <w:footnote w:type="continuationSeparator" w:id="0">
    <w:p w:rsidR="006B1850" w:rsidRDefault="006B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5B7442"/>
    <w:multiLevelType w:val="hybridMultilevel"/>
    <w:tmpl w:val="9F2858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7436714"/>
    <w:multiLevelType w:val="hybridMultilevel"/>
    <w:tmpl w:val="5A4CA6D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57A37B7"/>
    <w:multiLevelType w:val="hybridMultilevel"/>
    <w:tmpl w:val="2E5A85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B7040D1"/>
    <w:multiLevelType w:val="hybridMultilevel"/>
    <w:tmpl w:val="8AC407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6"/>
  </w:num>
  <w:num w:numId="3">
    <w:abstractNumId w:val="15"/>
  </w:num>
  <w:num w:numId="4">
    <w:abstractNumId w:val="13"/>
  </w:num>
  <w:num w:numId="5">
    <w:abstractNumId w:val="17"/>
  </w:num>
  <w:num w:numId="6">
    <w:abstractNumId w:val="14"/>
  </w:num>
  <w:num w:numId="7">
    <w:abstractNumId w:val="7"/>
  </w:num>
  <w:num w:numId="8">
    <w:abstractNumId w:val="10"/>
  </w:num>
  <w:num w:numId="9">
    <w:abstractNumId w:val="23"/>
  </w:num>
  <w:num w:numId="10">
    <w:abstractNumId w:val="1"/>
  </w:num>
  <w:num w:numId="11">
    <w:abstractNumId w:val="0"/>
  </w:num>
  <w:num w:numId="12">
    <w:abstractNumId w:val="3"/>
  </w:num>
  <w:num w:numId="13">
    <w:abstractNumId w:val="18"/>
  </w:num>
  <w:num w:numId="14">
    <w:abstractNumId w:val="20"/>
  </w:num>
  <w:num w:numId="15">
    <w:abstractNumId w:val="5"/>
  </w:num>
  <w:num w:numId="16">
    <w:abstractNumId w:val="22"/>
  </w:num>
  <w:num w:numId="17">
    <w:abstractNumId w:val="4"/>
  </w:num>
  <w:num w:numId="18">
    <w:abstractNumId w:val="8"/>
  </w:num>
  <w:num w:numId="19">
    <w:abstractNumId w:val="2"/>
  </w:num>
  <w:num w:numId="20">
    <w:abstractNumId w:val="25"/>
  </w:num>
  <w:num w:numId="21">
    <w:abstractNumId w:val="21"/>
  </w:num>
  <w:num w:numId="22">
    <w:abstractNumId w:val="11"/>
  </w:num>
  <w:num w:numId="23">
    <w:abstractNumId w:val="24"/>
  </w:num>
  <w:num w:numId="24">
    <w:abstractNumId w:val="9"/>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206A"/>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2FF0"/>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35ABE"/>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4BE6"/>
    <w:rsid w:val="0025514A"/>
    <w:rsid w:val="002551EE"/>
    <w:rsid w:val="00261231"/>
    <w:rsid w:val="00265795"/>
    <w:rsid w:val="002727E9"/>
    <w:rsid w:val="00274FF0"/>
    <w:rsid w:val="0027557C"/>
    <w:rsid w:val="00276117"/>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08C"/>
    <w:rsid w:val="002C253E"/>
    <w:rsid w:val="002C5A94"/>
    <w:rsid w:val="002D009B"/>
    <w:rsid w:val="002D024D"/>
    <w:rsid w:val="002D1A14"/>
    <w:rsid w:val="002D398B"/>
    <w:rsid w:val="002D464B"/>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79D"/>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0AA1"/>
    <w:rsid w:val="00415275"/>
    <w:rsid w:val="0041597B"/>
    <w:rsid w:val="00422383"/>
    <w:rsid w:val="00422BE4"/>
    <w:rsid w:val="00427236"/>
    <w:rsid w:val="00435906"/>
    <w:rsid w:val="00442F7B"/>
    <w:rsid w:val="00454C16"/>
    <w:rsid w:val="0045774E"/>
    <w:rsid w:val="00464704"/>
    <w:rsid w:val="004655CB"/>
    <w:rsid w:val="00470F14"/>
    <w:rsid w:val="00476503"/>
    <w:rsid w:val="00477097"/>
    <w:rsid w:val="0048010A"/>
    <w:rsid w:val="00485E2E"/>
    <w:rsid w:val="00486E31"/>
    <w:rsid w:val="004A1E2E"/>
    <w:rsid w:val="004A2E5F"/>
    <w:rsid w:val="004B0B31"/>
    <w:rsid w:val="004C4664"/>
    <w:rsid w:val="004D3A3C"/>
    <w:rsid w:val="004D592D"/>
    <w:rsid w:val="004D5ADA"/>
    <w:rsid w:val="004E4395"/>
    <w:rsid w:val="004F1C04"/>
    <w:rsid w:val="004F6FDA"/>
    <w:rsid w:val="00500312"/>
    <w:rsid w:val="0050133A"/>
    <w:rsid w:val="0050298B"/>
    <w:rsid w:val="00507886"/>
    <w:rsid w:val="00512B81"/>
    <w:rsid w:val="005130F0"/>
    <w:rsid w:val="005158B3"/>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57EE"/>
    <w:rsid w:val="00597BF3"/>
    <w:rsid w:val="005B2CF5"/>
    <w:rsid w:val="005B444D"/>
    <w:rsid w:val="005B5795"/>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47A15"/>
    <w:rsid w:val="00655FA9"/>
    <w:rsid w:val="00657F70"/>
    <w:rsid w:val="006656BA"/>
    <w:rsid w:val="00667C85"/>
    <w:rsid w:val="00680EFB"/>
    <w:rsid w:val="006A4F4B"/>
    <w:rsid w:val="006A5F5C"/>
    <w:rsid w:val="006A64E1"/>
    <w:rsid w:val="006B08EF"/>
    <w:rsid w:val="006B1850"/>
    <w:rsid w:val="006B489F"/>
    <w:rsid w:val="006B6CAB"/>
    <w:rsid w:val="006C1C42"/>
    <w:rsid w:val="006D15FA"/>
    <w:rsid w:val="006D2024"/>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52171"/>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54146"/>
    <w:rsid w:val="00865331"/>
    <w:rsid w:val="00867535"/>
    <w:rsid w:val="008706FD"/>
    <w:rsid w:val="008833DC"/>
    <w:rsid w:val="00894C94"/>
    <w:rsid w:val="00895CB6"/>
    <w:rsid w:val="008A58CD"/>
    <w:rsid w:val="008A6811"/>
    <w:rsid w:val="008A7AE7"/>
    <w:rsid w:val="008B18DA"/>
    <w:rsid w:val="008C0063"/>
    <w:rsid w:val="008C0420"/>
    <w:rsid w:val="008C24F5"/>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2C5E"/>
    <w:rsid w:val="00932CFA"/>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3F56"/>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307FC"/>
    <w:rsid w:val="00C308BC"/>
    <w:rsid w:val="00C323FE"/>
    <w:rsid w:val="00C348D1"/>
    <w:rsid w:val="00C4011A"/>
    <w:rsid w:val="00C40DC8"/>
    <w:rsid w:val="00C4324D"/>
    <w:rsid w:val="00C437A2"/>
    <w:rsid w:val="00C653E3"/>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9A7"/>
    <w:rsid w:val="00D14C12"/>
    <w:rsid w:val="00D14C85"/>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827"/>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226"/>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3591"/>
    <w:rsid w:val="00EB4E4D"/>
    <w:rsid w:val="00EC129D"/>
    <w:rsid w:val="00ED1D72"/>
    <w:rsid w:val="00ED600D"/>
    <w:rsid w:val="00EE4676"/>
    <w:rsid w:val="00EE5C59"/>
    <w:rsid w:val="00EF60DB"/>
    <w:rsid w:val="00F02B53"/>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1806562">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7211225">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5367546">
      <w:bodyDiv w:val="1"/>
      <w:marLeft w:val="0"/>
      <w:marRight w:val="0"/>
      <w:marTop w:val="0"/>
      <w:marBottom w:val="0"/>
      <w:divBdr>
        <w:top w:val="none" w:sz="0" w:space="0" w:color="auto"/>
        <w:left w:val="none" w:sz="0" w:space="0" w:color="auto"/>
        <w:bottom w:val="none" w:sz="0" w:space="0" w:color="auto"/>
        <w:right w:val="none" w:sz="0" w:space="0" w:color="auto"/>
      </w:divBdr>
    </w:div>
    <w:div w:id="147283186">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134380">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27233248">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848890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1853469">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2242484">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3956965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3262208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1574922">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3709399">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0988507">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52053959">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22708870">
      <w:bodyDiv w:val="1"/>
      <w:marLeft w:val="0"/>
      <w:marRight w:val="0"/>
      <w:marTop w:val="0"/>
      <w:marBottom w:val="0"/>
      <w:divBdr>
        <w:top w:val="none" w:sz="0" w:space="0" w:color="auto"/>
        <w:left w:val="none" w:sz="0" w:space="0" w:color="auto"/>
        <w:bottom w:val="none" w:sz="0" w:space="0" w:color="auto"/>
        <w:right w:val="none" w:sz="0" w:space="0" w:color="auto"/>
      </w:divBdr>
    </w:div>
    <w:div w:id="102957160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6938350">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846372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48045465">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192718">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03953149">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7865588">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288</Words>
  <Characters>1643</Characters>
  <Application>Microsoft Office Word</Application>
  <DocSecurity>0</DocSecurity>
  <Lines>13</Lines>
  <Paragraphs>3</Paragraphs>
  <ScaleCrop>false</ScaleCrop>
  <Company>2ndSpAcE</Company>
  <LinksUpToDate>false</LinksUpToDate>
  <CharactersWithSpaces>1928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2024-07-22T07:38:00Z</dcterms:created>
  <dcterms:modified xsi:type="dcterms:W3CDTF">2024-07-22T07:55:00Z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