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95" w:rsidRDefault="0017377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A82595" w:rsidRDefault="00A8259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A82595" w:rsidRDefault="00A8259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:rsidR="00A82595" w:rsidRDefault="002E015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6350</wp:posOffset>
            </wp:positionV>
            <wp:extent cx="1601470" cy="2296160"/>
            <wp:effectExtent l="0" t="0" r="0" b="8890"/>
            <wp:wrapTight wrapText="bothSides">
              <wp:wrapPolygon edited="0">
                <wp:start x="0" y="0"/>
                <wp:lineTo x="0" y="21504"/>
                <wp:lineTo x="21326" y="21504"/>
                <wp:lineTo x="21326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77E">
        <w:rPr>
          <w:b/>
          <w:bCs/>
          <w:szCs w:val="21"/>
        </w:rPr>
        <w:t>中文书名</w:t>
      </w:r>
      <w:r w:rsidR="0017377E">
        <w:rPr>
          <w:rFonts w:hint="eastAsia"/>
          <w:b/>
          <w:bCs/>
          <w:szCs w:val="21"/>
        </w:rPr>
        <w:t>：</w:t>
      </w:r>
      <w:r w:rsidR="0017377E">
        <w:rPr>
          <w:rFonts w:hint="eastAsia"/>
          <w:b/>
          <w:bCs/>
          <w:szCs w:val="21"/>
        </w:rPr>
        <w:t>《</w:t>
      </w:r>
      <w:r w:rsidR="0017377E">
        <w:rPr>
          <w:rFonts w:hint="eastAsia"/>
          <w:b/>
          <w:bCs/>
          <w:szCs w:val="21"/>
        </w:rPr>
        <w:t>亚伯拉罕的子孙：穆斯林与犹太人关系的故事</w:t>
      </w:r>
      <w:r w:rsidR="0017377E">
        <w:rPr>
          <w:rFonts w:hint="eastAsia"/>
          <w:b/>
          <w:bCs/>
          <w:szCs w:val="21"/>
        </w:rPr>
        <w:t>》</w:t>
      </w:r>
    </w:p>
    <w:p w:rsidR="00A82595" w:rsidRDefault="0017377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Children of Abraham</w:t>
      </w:r>
      <w:r>
        <w:rPr>
          <w:b/>
          <w:bCs/>
          <w:szCs w:val="21"/>
        </w:rPr>
        <w:t>: The Story of Muslim-Jewish Relations</w:t>
      </w:r>
    </w:p>
    <w:p w:rsidR="00A82595" w:rsidRDefault="0017377E">
      <w:pPr>
        <w:tabs>
          <w:tab w:val="left" w:pos="341"/>
          <w:tab w:val="left" w:pos="5235"/>
        </w:tabs>
        <w:jc w:val="left"/>
        <w:rPr>
          <w:b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</w:rPr>
        <w:t>Marc David Baer</w:t>
      </w:r>
    </w:p>
    <w:p w:rsidR="00A82595" w:rsidRDefault="0017377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2E0153" w:rsidRPr="002E0153">
        <w:rPr>
          <w:b/>
          <w:bCs/>
          <w:szCs w:val="21"/>
        </w:rPr>
        <w:t>Basic Books</w:t>
      </w:r>
    </w:p>
    <w:p w:rsidR="00A82595" w:rsidRDefault="0017377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2E0153">
        <w:rPr>
          <w:b/>
          <w:bCs/>
          <w:szCs w:val="21"/>
        </w:rPr>
        <w:t>Profile/</w:t>
      </w:r>
      <w:r>
        <w:rPr>
          <w:rFonts w:hint="eastAsia"/>
          <w:b/>
          <w:bCs/>
          <w:szCs w:val="21"/>
        </w:rPr>
        <w:t>ANA/Sharon</w:t>
      </w:r>
    </w:p>
    <w:p w:rsidR="00A82595" w:rsidRDefault="0017377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</w:t>
      </w:r>
      <w:r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年</w:t>
      </w:r>
      <w:r>
        <w:rPr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</w:p>
    <w:p w:rsidR="00A82595" w:rsidRDefault="0017377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A82595" w:rsidRDefault="0017377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352</w:t>
      </w:r>
      <w:r w:rsidR="002E0153">
        <w:rPr>
          <w:b/>
          <w:bCs/>
          <w:szCs w:val="21"/>
        </w:rPr>
        <w:t>页</w:t>
      </w:r>
    </w:p>
    <w:p w:rsidR="00A82595" w:rsidRDefault="0017377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2E0153">
        <w:rPr>
          <w:b/>
          <w:bCs/>
          <w:szCs w:val="21"/>
        </w:rPr>
        <w:t>大纲</w:t>
      </w:r>
    </w:p>
    <w:p w:rsidR="00A82595" w:rsidRDefault="0017377E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A82595" w:rsidRDefault="002E0153">
      <w:pPr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版权已授：北美</w:t>
      </w:r>
    </w:p>
    <w:p w:rsidR="00A82595" w:rsidRDefault="00A82595">
      <w:pPr>
        <w:rPr>
          <w:bCs/>
          <w:color w:val="FF0000"/>
          <w:szCs w:val="21"/>
        </w:rPr>
      </w:pPr>
    </w:p>
    <w:p w:rsidR="002E0153" w:rsidRDefault="002E0153">
      <w:pPr>
        <w:rPr>
          <w:rFonts w:hint="eastAsia"/>
          <w:bCs/>
          <w:color w:val="FF0000"/>
          <w:szCs w:val="21"/>
        </w:rPr>
      </w:pPr>
    </w:p>
    <w:p w:rsidR="00A82595" w:rsidRDefault="0017377E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:rsidR="00A82595" w:rsidRDefault="00A82595">
      <w:pPr>
        <w:autoSpaceDE w:val="0"/>
        <w:autoSpaceDN w:val="0"/>
        <w:adjustRightInd w:val="0"/>
        <w:rPr>
          <w:kern w:val="0"/>
          <w:szCs w:val="21"/>
        </w:rPr>
      </w:pPr>
    </w:p>
    <w:p w:rsidR="00A82595" w:rsidRDefault="0017377E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难道犹太人和穆斯林总是刀剑相对吗？用犹太人和巴勒斯坦人的一句谚语来说，他们难道不是同甘共苦、同舟共济吗？</w:t>
      </w:r>
    </w:p>
    <w:p w:rsidR="00A82595" w:rsidRDefault="00A82595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:rsidR="00A82595" w:rsidRDefault="0017377E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1400</w:t>
      </w:r>
      <w:r>
        <w:rPr>
          <w:rFonts w:hint="eastAsia"/>
          <w:kern w:val="0"/>
          <w:szCs w:val="21"/>
        </w:rPr>
        <w:t>多年来，穆斯林和犹太人一直不断往来——他们的关系时好时坏。然而，最近的讨论却只关注两个族群交往中最糟糕的方面。</w:t>
      </w:r>
    </w:p>
    <w:p w:rsidR="00A82595" w:rsidRDefault="00A82595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:rsidR="00A82595" w:rsidRDefault="0017377E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在《亚伯拉罕的子孙》一书中，马克·戴维·贝尔——畅销书《土耳其人》的作者——描绘了穆斯林与犹太人关系的丰富图景，包括穆罕默德在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世纪与犹太阿拉伯人的首次交往、西班牙收复失地运动之后的共同斗争、黑海地区的</w:t>
      </w:r>
      <w:proofErr w:type="gramStart"/>
      <w:r>
        <w:rPr>
          <w:rFonts w:hint="eastAsia"/>
          <w:kern w:val="0"/>
          <w:szCs w:val="21"/>
        </w:rPr>
        <w:t>犹太哈扎克</w:t>
      </w:r>
      <w:proofErr w:type="gramEnd"/>
      <w:r>
        <w:rPr>
          <w:rFonts w:hint="eastAsia"/>
          <w:kern w:val="0"/>
          <w:szCs w:val="21"/>
        </w:rPr>
        <w:t>王国以及以色列与巴勒斯坦之间的冲突。</w:t>
      </w:r>
    </w:p>
    <w:p w:rsidR="00A82595" w:rsidRDefault="00A82595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:rsidR="00A82595" w:rsidRDefault="0017377E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本书摆脱了</w:t>
      </w:r>
      <w:bookmarkStart w:id="4" w:name="OLE_LINK5"/>
      <w:bookmarkStart w:id="5" w:name="OLE_LINK6"/>
      <w:r>
        <w:rPr>
          <w:rFonts w:hint="eastAsia"/>
          <w:kern w:val="0"/>
          <w:szCs w:val="21"/>
        </w:rPr>
        <w:t>穆斯林—犹太人历史上的神话和反神话，是对两个族群历史的重要重述</w:t>
      </w:r>
      <w:bookmarkEnd w:id="4"/>
      <w:bookmarkEnd w:id="5"/>
      <w:r>
        <w:rPr>
          <w:rFonts w:hint="eastAsia"/>
          <w:kern w:val="0"/>
          <w:szCs w:val="21"/>
        </w:rPr>
        <w:t>，他们之间的关系将影响未来几十年的全球政治。</w:t>
      </w:r>
    </w:p>
    <w:p w:rsidR="00A82595" w:rsidRDefault="00A82595">
      <w:pPr>
        <w:autoSpaceDE w:val="0"/>
        <w:autoSpaceDN w:val="0"/>
        <w:adjustRightInd w:val="0"/>
        <w:rPr>
          <w:kern w:val="0"/>
          <w:szCs w:val="21"/>
        </w:rPr>
      </w:pPr>
    </w:p>
    <w:p w:rsidR="002E0153" w:rsidRDefault="002E0153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A82595" w:rsidRDefault="0017377E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bookmarkStart w:id="6" w:name="_GoBack"/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:rsidR="00A82595" w:rsidRDefault="002E0153">
      <w:pPr>
        <w:autoSpaceDE w:val="0"/>
        <w:autoSpaceDN w:val="0"/>
        <w:adjustRightInd w:val="0"/>
        <w:rPr>
          <w:bCs/>
        </w:rPr>
      </w:pPr>
      <w:r>
        <w:rPr>
          <w:b/>
          <w:noProof/>
          <w:color w:val="C00000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188595</wp:posOffset>
            </wp:positionV>
            <wp:extent cx="787400" cy="1282065"/>
            <wp:effectExtent l="0" t="0" r="0" b="0"/>
            <wp:wrapSquare wrapText="bothSides"/>
            <wp:docPr id="1" name="图片 1" descr="截屏2024-09-12 21.33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9-12 21.33.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595" w:rsidRDefault="0017377E">
      <w:pPr>
        <w:autoSpaceDE w:val="0"/>
        <w:autoSpaceDN w:val="0"/>
        <w:adjustRightInd w:val="0"/>
        <w:ind w:firstLine="420"/>
        <w:rPr>
          <w:bCs/>
        </w:rPr>
      </w:pPr>
      <w:r>
        <w:rPr>
          <w:rFonts w:hint="eastAsia"/>
          <w:b/>
          <w:bCs/>
          <w:kern w:val="0"/>
          <w:szCs w:val="21"/>
        </w:rPr>
        <w:t>马克·戴维·贝尔（</w:t>
      </w:r>
      <w:r>
        <w:rPr>
          <w:rFonts w:hint="eastAsia"/>
          <w:b/>
          <w:bCs/>
          <w:kern w:val="0"/>
          <w:szCs w:val="21"/>
        </w:rPr>
        <w:t>Marc David Baer</w:t>
      </w:r>
      <w:r>
        <w:rPr>
          <w:rFonts w:hint="eastAsia"/>
          <w:b/>
          <w:bCs/>
          <w:kern w:val="0"/>
          <w:szCs w:val="21"/>
        </w:rPr>
        <w:t>）</w:t>
      </w:r>
      <w:r>
        <w:rPr>
          <w:rFonts w:hint="eastAsia"/>
          <w:kern w:val="0"/>
          <w:szCs w:val="21"/>
        </w:rPr>
        <w:t>是伦敦经济学院国际历史学教授。他出版了大量有关犹太史和伊斯兰史的著作，是奥斯</w:t>
      </w:r>
      <w:proofErr w:type="gramStart"/>
      <w:r>
        <w:rPr>
          <w:rFonts w:hint="eastAsia"/>
          <w:kern w:val="0"/>
          <w:szCs w:val="21"/>
        </w:rPr>
        <w:t>曼</w:t>
      </w:r>
      <w:proofErr w:type="gramEnd"/>
      <w:r>
        <w:rPr>
          <w:rFonts w:hint="eastAsia"/>
          <w:kern w:val="0"/>
          <w:szCs w:val="21"/>
        </w:rPr>
        <w:t>帝国、犹太人、穆斯林和基督徒之间</w:t>
      </w:r>
      <w:r>
        <w:rPr>
          <w:rFonts w:hint="eastAsia"/>
          <w:kern w:val="0"/>
          <w:szCs w:val="21"/>
        </w:rPr>
        <w:t>的和解以及正视族群之间长期存在的成见方面的专家。他的最新著作《奥斯曼帝国：汗王、凯撒和哈里发》（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The Ottomans: Khans, Caesars, and Caliphs</w:t>
      </w:r>
      <w:r>
        <w:rPr>
          <w:rFonts w:hint="eastAsia"/>
          <w:kern w:val="0"/>
          <w:szCs w:val="21"/>
        </w:rPr>
        <w:t>）入围了沃尔夫森历史奖（</w:t>
      </w:r>
      <w:r>
        <w:rPr>
          <w:rFonts w:hint="eastAsia"/>
          <w:kern w:val="0"/>
          <w:szCs w:val="21"/>
        </w:rPr>
        <w:t>Wolfson History Prize</w:t>
      </w:r>
      <w:r>
        <w:rPr>
          <w:rFonts w:hint="eastAsia"/>
          <w:kern w:val="0"/>
          <w:szCs w:val="21"/>
        </w:rPr>
        <w:t>），其版权已售出</w:t>
      </w:r>
      <w:r>
        <w:rPr>
          <w:rFonts w:hint="eastAsia"/>
          <w:kern w:val="0"/>
          <w:szCs w:val="21"/>
        </w:rPr>
        <w:t>12</w:t>
      </w:r>
      <w:r>
        <w:rPr>
          <w:rFonts w:hint="eastAsia"/>
          <w:kern w:val="0"/>
          <w:szCs w:val="21"/>
        </w:rPr>
        <w:t>种语言版本。</w:t>
      </w:r>
    </w:p>
    <w:bookmarkEnd w:id="6"/>
    <w:p w:rsidR="00A82595" w:rsidRDefault="00A82595">
      <w:pPr>
        <w:autoSpaceDE w:val="0"/>
        <w:autoSpaceDN w:val="0"/>
        <w:adjustRightInd w:val="0"/>
        <w:rPr>
          <w:bCs/>
        </w:rPr>
      </w:pPr>
    </w:p>
    <w:p w:rsidR="00A82595" w:rsidRDefault="00A82595">
      <w:pPr>
        <w:autoSpaceDE w:val="0"/>
        <w:autoSpaceDN w:val="0"/>
        <w:adjustRightInd w:val="0"/>
        <w:rPr>
          <w:bCs/>
        </w:rPr>
      </w:pPr>
    </w:p>
    <w:p w:rsidR="00A82595" w:rsidRDefault="0017377E">
      <w:pPr>
        <w:shd w:val="clear" w:color="auto" w:fill="FFFFFF"/>
        <w:rPr>
          <w:color w:val="000000"/>
          <w:szCs w:val="21"/>
        </w:rPr>
      </w:pPr>
      <w:bookmarkStart w:id="7" w:name="OLE_LINK45"/>
      <w:bookmarkStart w:id="8" w:name="OLE_LINK44"/>
      <w:bookmarkStart w:id="9" w:name="OLE_LINK43"/>
      <w:bookmarkStart w:id="10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lastRenderedPageBreak/>
        <w:t>感</w:t>
      </w:r>
      <w:r>
        <w:rPr>
          <w:b/>
          <w:bCs/>
          <w:color w:val="000000"/>
          <w:szCs w:val="21"/>
        </w:rPr>
        <w:t>谢您的阅读！</w:t>
      </w:r>
    </w:p>
    <w:p w:rsidR="00A82595" w:rsidRDefault="0017377E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A82595" w:rsidRDefault="0017377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A82595" w:rsidRDefault="0017377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82595" w:rsidRDefault="0017377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82595" w:rsidRDefault="0017377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82595" w:rsidRDefault="0017377E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82595" w:rsidRDefault="0017377E">
      <w:pPr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2413635</wp:posOffset>
            </wp:positionV>
            <wp:extent cx="284480" cy="309880"/>
            <wp:effectExtent l="0" t="0" r="20320" b="2032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82595" w:rsidRDefault="0017377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82595" w:rsidRDefault="0017377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</w:t>
        </w:r>
        <w:r>
          <w:rPr>
            <w:rStyle w:val="ab"/>
            <w:szCs w:val="21"/>
          </w:rPr>
          <w:t>o.aspx</w:t>
        </w:r>
      </w:hyperlink>
    </w:p>
    <w:p w:rsidR="00A82595" w:rsidRDefault="0017377E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82595" w:rsidRDefault="0017377E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82595" w:rsidRDefault="0017377E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7"/>
    <w:bookmarkEnd w:id="8"/>
    <w:bookmarkEnd w:id="9"/>
    <w:bookmarkEnd w:id="10"/>
    <w:p w:rsidR="00A82595" w:rsidRDefault="00A82595">
      <w:pPr>
        <w:widowControl/>
        <w:shd w:val="clear" w:color="auto" w:fill="FFFFFF"/>
        <w:rPr>
          <w:kern w:val="0"/>
          <w:szCs w:val="21"/>
        </w:rPr>
      </w:pPr>
    </w:p>
    <w:sectPr w:rsidR="00A825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77E" w:rsidRDefault="0017377E">
      <w:r>
        <w:separator/>
      </w:r>
    </w:p>
  </w:endnote>
  <w:endnote w:type="continuationSeparator" w:id="0">
    <w:p w:rsidR="0017377E" w:rsidRDefault="0017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95" w:rsidRDefault="0017377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258EF" w:rsidRPr="008258EF">
      <w:rPr>
        <w:noProof/>
        <w:lang w:val="zh-CN"/>
      </w:rPr>
      <w:t>1</w:t>
    </w:r>
    <w:r>
      <w:fldChar w:fldCharType="end"/>
    </w:r>
  </w:p>
  <w:p w:rsidR="00A82595" w:rsidRDefault="00A8259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77E" w:rsidRDefault="0017377E">
      <w:r>
        <w:separator/>
      </w:r>
    </w:p>
  </w:footnote>
  <w:footnote w:type="continuationSeparator" w:id="0">
    <w:p w:rsidR="0017377E" w:rsidRDefault="0017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595" w:rsidRDefault="0017377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2595" w:rsidRDefault="0017377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YzljZmVmNDM4YjBlYjJjMWQzNjMxYmQ3NjFhZDgifQ=="/>
  </w:docVars>
  <w:rsids>
    <w:rsidRoot w:val="005D743E"/>
    <w:rsid w:val="95CBD694"/>
    <w:rsid w:val="AA3FDE59"/>
    <w:rsid w:val="B7E60469"/>
    <w:rsid w:val="BBFF193C"/>
    <w:rsid w:val="BDBA191C"/>
    <w:rsid w:val="DEFBCA12"/>
    <w:rsid w:val="EA7E9029"/>
    <w:rsid w:val="ED639AFB"/>
    <w:rsid w:val="EEF7CFCD"/>
    <w:rsid w:val="EF7B05C0"/>
    <w:rsid w:val="F3DD5E21"/>
    <w:rsid w:val="F7F4A57A"/>
    <w:rsid w:val="F7FC6962"/>
    <w:rsid w:val="FBDD8E10"/>
    <w:rsid w:val="FD7BC0DB"/>
    <w:rsid w:val="FEF9B28A"/>
    <w:rsid w:val="FFD593B7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377E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0153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58EF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2595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C4BB4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28AC5D49"/>
    <w:rsid w:val="28C049EA"/>
    <w:rsid w:val="2FF670DA"/>
    <w:rsid w:val="2FF7EA5B"/>
    <w:rsid w:val="342F65CC"/>
    <w:rsid w:val="356901FD"/>
    <w:rsid w:val="36F6B54E"/>
    <w:rsid w:val="391E5FA3"/>
    <w:rsid w:val="39C9085A"/>
    <w:rsid w:val="3AB9262C"/>
    <w:rsid w:val="3B1C9C34"/>
    <w:rsid w:val="3BA74C6F"/>
    <w:rsid w:val="41787651"/>
    <w:rsid w:val="429B2728"/>
    <w:rsid w:val="477326E4"/>
    <w:rsid w:val="489D136C"/>
    <w:rsid w:val="499F13E5"/>
    <w:rsid w:val="4BBF7EE1"/>
    <w:rsid w:val="4CE20FB3"/>
    <w:rsid w:val="4D942FD5"/>
    <w:rsid w:val="5DF74DC3"/>
    <w:rsid w:val="5FFF7CE7"/>
    <w:rsid w:val="647153D0"/>
    <w:rsid w:val="65BC6B1F"/>
    <w:rsid w:val="677B6F78"/>
    <w:rsid w:val="67956A2E"/>
    <w:rsid w:val="6ABBBC19"/>
    <w:rsid w:val="6B0CDDEA"/>
    <w:rsid w:val="6D7C4D65"/>
    <w:rsid w:val="6FFF9167"/>
    <w:rsid w:val="739C33A8"/>
    <w:rsid w:val="768550D5"/>
    <w:rsid w:val="76DF243A"/>
    <w:rsid w:val="77BE8802"/>
    <w:rsid w:val="796DC6AF"/>
    <w:rsid w:val="7AE316DE"/>
    <w:rsid w:val="7BDF3A0D"/>
    <w:rsid w:val="7D3134F6"/>
    <w:rsid w:val="7EB7ADF2"/>
    <w:rsid w:val="7F756215"/>
    <w:rsid w:val="7FF5265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782B0CA-03B1-4C48-85A3-F72451C2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1433</Characters>
  <Application>Microsoft Office Word</Application>
  <DocSecurity>0</DocSecurity>
  <Lines>11</Lines>
  <Paragraphs>3</Paragraphs>
  <ScaleCrop>false</ScaleCrop>
  <Company>2ndSpAcE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24</cp:revision>
  <cp:lastPrinted>2005-06-13T14:33:00Z</cp:lastPrinted>
  <dcterms:created xsi:type="dcterms:W3CDTF">2024-07-18T18:51:00Z</dcterms:created>
  <dcterms:modified xsi:type="dcterms:W3CDTF">2024-10-08T10:15:00Z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13A24B435FCE4D8DB1BDCEB57F83536D_13</vt:lpwstr>
  </property>
</Properties>
</file>