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2 214753.png屏幕截图 2024-10-12 21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2 214753.png屏幕截图 2024-10-12 214753"/>
                    <pic:cNvPicPr>
                      <a:picLocks noChangeAspect="1"/>
                    </pic:cNvPicPr>
                  </pic:nvPicPr>
                  <pic:blipFill>
                    <a:blip r:embed="rId6"/>
                    <a:srcRect t="515" b="51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我们的生物学：我们周围和内部的世界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Biology of Us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The Living World All Around and In Us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Gary C. Howard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328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</w:t>
      </w:r>
      <w:r>
        <w:rPr>
          <w:b/>
          <w:bCs/>
          <w:color w:val="000000"/>
          <w:szCs w:val="21"/>
          <w:highlight w:val="none"/>
        </w:rPr>
        <w:t>月</w:t>
      </w:r>
      <w:bookmarkStart w:id="1" w:name="_GoBack"/>
      <w:bookmarkEnd w:id="1"/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社会科学/生态学</w:t>
      </w:r>
    </w:p>
    <w:p w14:paraId="52C74D97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#597 in Ecology (Books)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7DE20C96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在现代世界中，我们很容易忽视周围的自然世界。只有重大生活事件，如出生、受伤、疾病和死亡，才提醒我们</w:t>
      </w:r>
      <w:r>
        <w:rPr>
          <w:rFonts w:hint="eastAsia"/>
          <w:bCs/>
          <w:kern w:val="0"/>
          <w:szCs w:val="21"/>
          <w:lang w:val="en-US" w:eastAsia="zh-CN"/>
        </w:rPr>
        <w:t>自己</w:t>
      </w:r>
      <w:r>
        <w:rPr>
          <w:rFonts w:hint="eastAsia"/>
          <w:bCs/>
          <w:kern w:val="0"/>
          <w:szCs w:val="21"/>
        </w:rPr>
        <w:t>仍然是生物有机体。我们与自然的“互动”往往是在动物园、主题公园或各种媒体中进行的，这些展示通常在</w:t>
      </w:r>
      <w:r>
        <w:rPr>
          <w:rFonts w:hint="eastAsia"/>
          <w:bCs/>
          <w:kern w:val="0"/>
          <w:szCs w:val="21"/>
          <w:lang w:val="en-US" w:eastAsia="zh-CN"/>
        </w:rPr>
        <w:t>特定</w:t>
      </w:r>
      <w:r>
        <w:rPr>
          <w:rFonts w:hint="eastAsia"/>
          <w:bCs/>
          <w:kern w:val="0"/>
          <w:szCs w:val="21"/>
        </w:rPr>
        <w:t>的环境下进行，但无意中加深了我们与自然的隔离。生物学似乎发生在其他地方。</w:t>
      </w:r>
    </w:p>
    <w:p w14:paraId="6CE92823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作者加里·霍华德试图改变这种看法。《我们的生物学》描述了隐藏在日常生活中常见而迷人的生物和自然现象。书中专注于人类生物学，同时描述了周围、身体内外的动物和植物，将人类特征置于进化背景中。我们的许多日常活动都是进化的例子，如呼吸、饮食、站立、交流和时</w:t>
      </w:r>
      <w:r>
        <w:rPr>
          <w:rFonts w:hint="eastAsia"/>
          <w:bCs/>
          <w:kern w:val="0"/>
          <w:szCs w:val="21"/>
          <w:lang w:val="en-US" w:eastAsia="zh-CN"/>
        </w:rPr>
        <w:t>间</w:t>
      </w:r>
      <w:r>
        <w:rPr>
          <w:rFonts w:hint="eastAsia"/>
          <w:bCs/>
          <w:kern w:val="0"/>
          <w:szCs w:val="21"/>
        </w:rPr>
        <w:t>等。这本书展示了普通生物体成功应用的进化策略，这些策略已经存在了数亿年。霍华德指出，日常生活中的生物并不是微不足道的害虫，而与塞伦盖提或加拉帕戈斯群岛中的生物同样令人惊叹。</w:t>
      </w:r>
    </w:p>
    <w:p w14:paraId="11B60DB0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ind w:right="42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加里·C·霍华德（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Gary C. Howard 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生物科学博士，曾在旧金山的格拉德斯通研究所担任科学编辑和作家长达22年。他在卡内基梅隆大学获得生物科学博士学位，并在哈佛大学和约翰霍普金斯大学完成研究员培训。他继续从事编辑和写作工作，之前出版的书籍包括《死亡的生物学》（2021）和《成像生命》（2014）。</w:t>
      </w:r>
    </w:p>
    <w:p w14:paraId="4E42750D">
      <w:pPr>
        <w:ind w:right="420" w:firstLine="420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090CAD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 w14:paraId="0E0ACA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E4C60C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1. 寻找土虫</w:t>
      </w:r>
    </w:p>
    <w:p w14:paraId="2DE0AB3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2. 我们周围的生命</w:t>
      </w:r>
    </w:p>
    <w:p w14:paraId="37628D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建立家谱</w:t>
      </w:r>
    </w:p>
    <w:p w14:paraId="45CCB74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动物</w:t>
      </w:r>
    </w:p>
    <w:p w14:paraId="0DC376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区别人类与其他动物的特征</w:t>
      </w:r>
    </w:p>
    <w:p w14:paraId="658D72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植物</w:t>
      </w:r>
    </w:p>
    <w:p w14:paraId="1BBCF0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地衣</w:t>
      </w:r>
    </w:p>
    <w:p w14:paraId="50541A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真菌与细菌</w:t>
      </w:r>
    </w:p>
    <w:p w14:paraId="425C91D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生命无处不在</w:t>
      </w:r>
    </w:p>
    <w:p w14:paraId="62D5B7A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3. 我们脚下的生命</w:t>
      </w:r>
    </w:p>
    <w:p w14:paraId="0884B5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地球的构成</w:t>
      </w:r>
    </w:p>
    <w:p w14:paraId="548271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地下的生命</w:t>
      </w:r>
    </w:p>
    <w:p w14:paraId="0DD583C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地下的关键过程</w:t>
      </w:r>
    </w:p>
    <w:p w14:paraId="2CB6640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思考地下的事物</w:t>
      </w:r>
    </w:p>
    <w:p w14:paraId="59F40F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4. 超市系统学</w:t>
      </w:r>
    </w:p>
    <w:p w14:paraId="6F7B80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动物</w:t>
      </w:r>
    </w:p>
    <w:p w14:paraId="5319FC3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动物产品</w:t>
      </w:r>
    </w:p>
    <w:p w14:paraId="43834AB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植物产品</w:t>
      </w:r>
    </w:p>
    <w:p w14:paraId="2A29E48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蘑菇与真菌</w:t>
      </w:r>
    </w:p>
    <w:p w14:paraId="1895B53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感恩节晚餐</w:t>
      </w:r>
    </w:p>
    <w:p w14:paraId="16BDCF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超市系统学</w:t>
      </w:r>
    </w:p>
    <w:p w14:paraId="2DA9B1E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5. 同行者</w:t>
      </w:r>
    </w:p>
    <w:p w14:paraId="2824008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短暂光临的访客</w:t>
      </w:r>
    </w:p>
    <w:p w14:paraId="447D61B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停留一段时间的访客</w:t>
      </w:r>
    </w:p>
    <w:p w14:paraId="7B87215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内寄生虫</w:t>
      </w:r>
    </w:p>
    <w:p w14:paraId="26975D3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真菌</w:t>
      </w:r>
    </w:p>
    <w:p w14:paraId="3FB8552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细菌</w:t>
      </w:r>
    </w:p>
    <w:p w14:paraId="63C55DE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微生物组</w:t>
      </w:r>
    </w:p>
    <w:p w14:paraId="53A976E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病毒</w:t>
      </w:r>
    </w:p>
    <w:p w14:paraId="2B60C2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病毒化石</w:t>
      </w:r>
    </w:p>
    <w:p w14:paraId="1F346E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内共生</w:t>
      </w:r>
    </w:p>
    <w:p w14:paraId="586695E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总结</w:t>
      </w:r>
    </w:p>
    <w:p w14:paraId="2BE62C7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6. 内外之分</w:t>
      </w:r>
    </w:p>
    <w:p w14:paraId="7C2C0D2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水</w:t>
      </w:r>
    </w:p>
    <w:p w14:paraId="61D9BD7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油与脂质</w:t>
      </w:r>
    </w:p>
    <w:p w14:paraId="16BDB27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蛋白质</w:t>
      </w:r>
    </w:p>
    <w:p w14:paraId="4ED277E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膜结构</w:t>
      </w:r>
    </w:p>
    <w:p w14:paraId="13A3B1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渗透膜</w:t>
      </w:r>
    </w:p>
    <w:p w14:paraId="612C820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其他脂质</w:t>
      </w:r>
    </w:p>
    <w:p w14:paraId="25688F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我们的内外</w:t>
      </w:r>
    </w:p>
    <w:p w14:paraId="33512C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最终的内在</w:t>
      </w:r>
    </w:p>
    <w:p w14:paraId="345EA03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7. 我们的内外</w:t>
      </w:r>
    </w:p>
    <w:p w14:paraId="09E078F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外部：皮肤</w:t>
      </w:r>
    </w:p>
    <w:p w14:paraId="3931393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另一个外部：消化道</w:t>
      </w:r>
    </w:p>
    <w:p w14:paraId="41A0AA0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真正的内部</w:t>
      </w:r>
    </w:p>
    <w:p w14:paraId="2074F77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8. 食物与饮食</w:t>
      </w:r>
    </w:p>
    <w:p w14:paraId="7F068C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饮食的进化</w:t>
      </w:r>
    </w:p>
    <w:p w14:paraId="58ADF47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烹饪</w:t>
      </w:r>
    </w:p>
    <w:p w14:paraId="173934A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消化</w:t>
      </w:r>
    </w:p>
    <w:p w14:paraId="74BA0B5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当事情出错时</w:t>
      </w:r>
    </w:p>
    <w:p w14:paraId="79AF7B3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富贵病</w:t>
      </w:r>
    </w:p>
    <w:p w14:paraId="2132538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9. 站立</w:t>
      </w:r>
    </w:p>
    <w:p w14:paraId="3B01A7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以两条腿站立</w:t>
      </w:r>
    </w:p>
    <w:p w14:paraId="197A399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细胞与细胞结构</w:t>
      </w:r>
    </w:p>
    <w:p w14:paraId="2AB894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动物</w:t>
      </w:r>
    </w:p>
    <w:p w14:paraId="5C1314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人类</w:t>
      </w:r>
    </w:p>
    <w:p w14:paraId="6BF05E6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植物</w:t>
      </w:r>
    </w:p>
    <w:p w14:paraId="46AEE3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移动植物</w:t>
      </w:r>
    </w:p>
    <w:p w14:paraId="3BF13EB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整合一切</w:t>
      </w:r>
    </w:p>
    <w:p w14:paraId="31D5333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10. 核心</w:t>
      </w:r>
    </w:p>
    <w:p w14:paraId="2EDAF68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血液</w:t>
      </w:r>
    </w:p>
    <w:p w14:paraId="0A13350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心脏</w:t>
      </w:r>
    </w:p>
    <w:p w14:paraId="68981DA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肺</w:t>
      </w:r>
    </w:p>
    <w:p w14:paraId="1D9201B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肾脏</w:t>
      </w:r>
    </w:p>
    <w:p w14:paraId="7AF6A0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内部海洋</w:t>
      </w:r>
    </w:p>
    <w:p w14:paraId="550EA4A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11. 青蛙与手指</w:t>
      </w:r>
    </w:p>
    <w:p w14:paraId="2A86350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程序性细胞死亡</w:t>
      </w:r>
    </w:p>
    <w:p w14:paraId="488D8D5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蝴蝶与青蛙</w:t>
      </w:r>
    </w:p>
    <w:p w14:paraId="09571F7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落叶与果实</w:t>
      </w:r>
    </w:p>
    <w:p w14:paraId="0EFEEBF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人类的发展与维护</w:t>
      </w:r>
    </w:p>
    <w:p w14:paraId="0CFD674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疾病与衰老</w:t>
      </w:r>
    </w:p>
    <w:p w14:paraId="1A1036E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细菌中的群体感知</w:t>
      </w:r>
    </w:p>
    <w:p w14:paraId="51BD53B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细胞死亡支持细胞生命</w:t>
      </w:r>
    </w:p>
    <w:p w14:paraId="089FD3D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12. 哭泣与欢笑</w:t>
      </w:r>
    </w:p>
    <w:p w14:paraId="2FB390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哭泣与泪水</w:t>
      </w:r>
    </w:p>
    <w:p w14:paraId="59A4890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欢笑</w:t>
      </w:r>
    </w:p>
    <w:p w14:paraId="67C909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言语的解剖</w:t>
      </w:r>
    </w:p>
    <w:p w14:paraId="4E717C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声音与语言</w:t>
      </w:r>
    </w:p>
    <w:p w14:paraId="35BFF58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言语的进化</w:t>
      </w:r>
    </w:p>
    <w:p w14:paraId="3D66803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化学沟通</w:t>
      </w:r>
    </w:p>
    <w:p w14:paraId="6488676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结论</w:t>
      </w:r>
    </w:p>
    <w:p w14:paraId="0BF1F61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13. 睡眠与意识</w:t>
      </w:r>
    </w:p>
    <w:p w14:paraId="6A2A8A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什么是睡眠？</w:t>
      </w:r>
    </w:p>
    <w:p w14:paraId="2AF5E7D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我们需要多少睡眠？</w:t>
      </w:r>
    </w:p>
    <w:p w14:paraId="0F14E7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睡眠障碍</w:t>
      </w:r>
    </w:p>
    <w:p w14:paraId="2DF4FE6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所有动物都睡觉吗？</w:t>
      </w:r>
    </w:p>
    <w:p w14:paraId="163B079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植物会睡觉吗？</w:t>
      </w:r>
    </w:p>
    <w:p w14:paraId="446A65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大脑如何运作</w:t>
      </w:r>
    </w:p>
    <w:p w14:paraId="76FEF1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梦是什么？</w:t>
      </w:r>
    </w:p>
    <w:p w14:paraId="619D7AA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意识</w:t>
      </w:r>
    </w:p>
    <w:p w14:paraId="6392065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结论</w:t>
      </w:r>
    </w:p>
    <w:p w14:paraId="698C803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14. 时间的测量</w:t>
      </w:r>
    </w:p>
    <w:p w14:paraId="018F654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生物节律</w:t>
      </w:r>
    </w:p>
    <w:p w14:paraId="5466C86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混淆我们的内在时钟</w:t>
      </w:r>
    </w:p>
    <w:p w14:paraId="6DA2DC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超越清醒与睡眠</w:t>
      </w:r>
    </w:p>
    <w:p w14:paraId="31890A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发展与衰老</w:t>
      </w:r>
    </w:p>
    <w:p w14:paraId="39A02E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  时间</w:t>
      </w:r>
    </w:p>
    <w:p w14:paraId="1E4F71AF">
      <w:pPr>
        <w:numPr>
          <w:ilvl w:val="0"/>
          <w:numId w:val="2"/>
        </w:num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接下来是什么？</w:t>
      </w:r>
    </w:p>
    <w:p w14:paraId="59666B5A">
      <w:pPr>
        <w:numPr>
          <w:ilvl w:val="0"/>
          <w:numId w:val="0"/>
        </w:numPr>
        <w:ind w:right="420" w:righ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AD17F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词汇表</w:t>
      </w:r>
    </w:p>
    <w:p w14:paraId="4E6A1A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参考文献</w:t>
      </w: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74FD342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Cascadia Code SemiLight">
    <w:panose1 w:val="020B0609020000020004"/>
    <w:charset w:val="00"/>
    <w:family w:val="auto"/>
    <w:pitch w:val="default"/>
    <w:sig w:usb0="A1002AFF" w:usb1="C200F9FB" w:usb2="00040020" w:usb3="00000000" w:csb0="600001FF" w:csb1="FFFF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173F8"/>
    <w:multiLevelType w:val="singleLevel"/>
    <w:tmpl w:val="E30173F8"/>
    <w:lvl w:ilvl="0" w:tentative="0">
      <w:start w:val="15"/>
      <w:numFmt w:val="decimal"/>
      <w:suff w:val="space"/>
      <w:lvlText w:val="%1."/>
      <w:lvlJc w:val="left"/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11A3C94"/>
    <w:rsid w:val="252E6B64"/>
    <w:rsid w:val="2DA34CE1"/>
    <w:rsid w:val="36064E9E"/>
    <w:rsid w:val="3AE04ADC"/>
    <w:rsid w:val="3C1934F8"/>
    <w:rsid w:val="3F70276D"/>
    <w:rsid w:val="432C279F"/>
    <w:rsid w:val="68EE2E29"/>
    <w:rsid w:val="6AEB37C3"/>
    <w:rsid w:val="77503411"/>
    <w:rsid w:val="77E15A7D"/>
    <w:rsid w:val="7A194811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5</Pages>
  <Words>1221</Words>
  <Characters>1607</Characters>
  <Lines>25</Lines>
  <Paragraphs>7</Paragraphs>
  <TotalTime>9</TotalTime>
  <ScaleCrop>false</ScaleCrop>
  <LinksUpToDate>false</LinksUpToDate>
  <CharactersWithSpaces>1830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2024-10-25T01:57:22Z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