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auto"/>
          <w:szCs w:val="21"/>
          <w:highlight w:val="none"/>
        </w:rPr>
      </w:pPr>
      <w:r>
        <w:rPr>
          <w:color w:val="auto"/>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4-10-12 220215.png屏幕截图 2024-10-12 22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0-12 220215.png屏幕截图 2024-10-12 220215"/>
                    <pic:cNvPicPr>
                      <a:picLocks noChangeAspect="1"/>
                    </pic:cNvPicPr>
                  </pic:nvPicPr>
                  <pic:blipFill>
                    <a:blip r:embed="rId6"/>
                    <a:srcRect t="344" b="344"/>
                    <a:stretch>
                      <a:fillRect/>
                    </a:stretch>
                  </pic:blipFill>
                  <pic:spPr>
                    <a:xfrm>
                      <a:off x="0" y="0"/>
                      <a:ext cx="1293495" cy="1952625"/>
                    </a:xfrm>
                    <a:prstGeom prst="rect">
                      <a:avLst/>
                    </a:prstGeom>
                    <a:noFill/>
                    <a:ln>
                      <a:noFill/>
                    </a:ln>
                  </pic:spPr>
                </pic:pic>
              </a:graphicData>
            </a:graphic>
          </wp:anchor>
        </w:drawing>
      </w:r>
      <w:r>
        <w:rPr>
          <w:b/>
          <w:bCs/>
          <w:color w:val="auto"/>
          <w:szCs w:val="21"/>
          <w:highlight w:val="none"/>
        </w:rPr>
        <w:t>中文书名：</w:t>
      </w:r>
      <w:bookmarkStart w:id="0" w:name="_Hlt89834866"/>
      <w:bookmarkEnd w:id="0"/>
      <w:r>
        <w:rPr>
          <w:rFonts w:hint="eastAsia"/>
          <w:b/>
          <w:bCs/>
          <w:color w:val="auto"/>
          <w:szCs w:val="21"/>
          <w:highlight w:val="none"/>
        </w:rPr>
        <w:t>《元宇宙：</w:t>
      </w:r>
      <w:r>
        <w:rPr>
          <w:rFonts w:hint="eastAsia"/>
          <w:b/>
          <w:bCs/>
          <w:color w:val="auto"/>
          <w:szCs w:val="21"/>
          <w:highlight w:val="none"/>
          <w:lang w:val="en-US" w:eastAsia="zh-CN"/>
        </w:rPr>
        <w:t>每个人都需要知道的事</w:t>
      </w:r>
      <w:r>
        <w:rPr>
          <w:rFonts w:hint="eastAsia"/>
          <w:b/>
          <w:bCs/>
          <w:color w:val="auto"/>
          <w:szCs w:val="21"/>
          <w:highlight w:val="none"/>
        </w:rPr>
        <w:t>》</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The Metaverse</w:t>
      </w:r>
      <w:r>
        <w:rPr>
          <w:rFonts w:hint="eastAsia"/>
          <w:b/>
          <w:bCs/>
          <w:i/>
          <w:color w:val="000000"/>
          <w:szCs w:val="21"/>
          <w:highlight w:val="none"/>
          <w:lang w:val="en-US" w:eastAsia="zh-CN"/>
        </w:rPr>
        <w:t>:</w:t>
      </w:r>
      <w:r>
        <w:rPr>
          <w:rFonts w:hint="eastAsia"/>
          <w:b/>
          <w:bCs/>
          <w:i/>
          <w:color w:val="000000"/>
          <w:szCs w:val="21"/>
          <w:highlight w:val="none"/>
        </w:rPr>
        <w:t xml:space="preserve"> What Everyone Needs to Know® </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 xml:space="preserve">Scott J. Shackelford, Michael Mattioli, Jeffrey T. Prince </w:t>
      </w:r>
      <w:r>
        <w:rPr>
          <w:rFonts w:hint="eastAsia"/>
          <w:b/>
          <w:bCs/>
          <w:color w:val="000000"/>
          <w:szCs w:val="21"/>
          <w:highlight w:val="none"/>
          <w:lang w:val="en-US" w:eastAsia="zh-CN"/>
        </w:rPr>
        <w:t>and</w:t>
      </w:r>
      <w:r>
        <w:rPr>
          <w:rFonts w:hint="eastAsia"/>
          <w:b/>
          <w:bCs/>
          <w:color w:val="000000"/>
          <w:szCs w:val="21"/>
          <w:highlight w:val="none"/>
        </w:rPr>
        <w:t xml:space="preserve"> João Marinotti </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Oxford University Press</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代理公司：ANA/</w:t>
      </w:r>
      <w:r>
        <w:rPr>
          <w:rFonts w:hint="eastAsia"/>
          <w:b/>
          <w:bCs/>
          <w:color w:val="000000"/>
          <w:szCs w:val="21"/>
          <w:highlight w:val="none"/>
          <w:lang w:val="en-US" w:eastAsia="zh-CN"/>
        </w:rPr>
        <w:t>Jessica Wu</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208</w:t>
      </w:r>
      <w:r>
        <w:rPr>
          <w:rFonts w:hint="eastAsia"/>
          <w:b/>
          <w:bCs/>
          <w:color w:val="000000"/>
          <w:szCs w:val="21"/>
          <w:highlight w:val="none"/>
        </w:rPr>
        <w:t>页</w:t>
      </w:r>
    </w:p>
    <w:p w14:paraId="13164844">
      <w:pPr>
        <w:tabs>
          <w:tab w:val="left" w:pos="341"/>
          <w:tab w:val="left" w:pos="5235"/>
        </w:tabs>
        <w:rPr>
          <w:b/>
          <w:bCs/>
          <w:color w:val="000000"/>
          <w:szCs w:val="21"/>
          <w:highlight w:val="none"/>
        </w:rPr>
      </w:pPr>
      <w:r>
        <w:rPr>
          <w:b/>
          <w:bCs/>
          <w:color w:val="000000"/>
          <w:szCs w:val="21"/>
          <w:highlight w:val="none"/>
        </w:rPr>
        <w:t>出版时间：202</w:t>
      </w:r>
      <w:r>
        <w:rPr>
          <w:rFonts w:hint="eastAsia"/>
          <w:b/>
          <w:bCs/>
          <w:color w:val="000000"/>
          <w:szCs w:val="21"/>
          <w:highlight w:val="none"/>
          <w:lang w:val="en-US" w:eastAsia="zh-CN"/>
        </w:rPr>
        <w:t>5</w:t>
      </w:r>
      <w:r>
        <w:rPr>
          <w:b/>
          <w:bCs/>
          <w:color w:val="000000"/>
          <w:szCs w:val="21"/>
          <w:highlight w:val="none"/>
        </w:rPr>
        <w:t>年</w:t>
      </w:r>
      <w:r>
        <w:rPr>
          <w:rFonts w:hint="eastAsia"/>
          <w:b/>
          <w:bCs/>
          <w:color w:val="000000"/>
          <w:szCs w:val="21"/>
          <w:highlight w:val="none"/>
          <w:lang w:val="en-US" w:eastAsia="zh-CN"/>
        </w:rPr>
        <w:t>7</w:t>
      </w:r>
      <w:r>
        <w:rPr>
          <w:b/>
          <w:bCs/>
          <w:color w:val="000000"/>
          <w:szCs w:val="21"/>
          <w:highlight w:val="none"/>
        </w:rPr>
        <w:t>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b/>
          <w:bCs/>
          <w:szCs w:val="21"/>
          <w:highlight w:val="none"/>
        </w:rPr>
      </w:pPr>
      <w:r>
        <w:rPr>
          <w:b/>
          <w:bCs/>
          <w:szCs w:val="21"/>
          <w:highlight w:val="none"/>
        </w:rPr>
        <w:t>审读资料：</w:t>
      </w:r>
      <w:r>
        <w:rPr>
          <w:rFonts w:hint="eastAsia"/>
          <w:b/>
          <w:bCs/>
          <w:szCs w:val="21"/>
          <w:highlight w:val="none"/>
          <w:lang w:val="en-US" w:eastAsia="zh-CN"/>
        </w:rPr>
        <w:t>暂无</w:t>
      </w:r>
      <w:r>
        <w:rPr>
          <w:b/>
          <w:bCs/>
          <w:szCs w:val="21"/>
          <w:highlight w:val="none"/>
        </w:rPr>
        <w:t>电子稿</w:t>
      </w:r>
    </w:p>
    <w:p w14:paraId="325CF91C">
      <w:pPr>
        <w:tabs>
          <w:tab w:val="left" w:pos="341"/>
          <w:tab w:val="left" w:pos="5235"/>
        </w:tabs>
        <w:rPr>
          <w:rFonts w:hint="default" w:eastAsia="宋体"/>
          <w:b/>
          <w:bCs/>
          <w:szCs w:val="21"/>
          <w:highlight w:val="none"/>
          <w:lang w:val="en-US" w:eastAsia="zh-CN"/>
        </w:rPr>
      </w:pPr>
      <w:r>
        <w:rPr>
          <w:b/>
          <w:bCs/>
          <w:szCs w:val="21"/>
          <w:highlight w:val="none"/>
        </w:rPr>
        <w:t>类    型</w:t>
      </w:r>
      <w:r>
        <w:rPr>
          <w:rFonts w:hint="eastAsia"/>
          <w:b/>
          <w:bCs/>
          <w:szCs w:val="21"/>
          <w:highlight w:val="none"/>
          <w:lang w:eastAsia="zh-CN"/>
        </w:rPr>
        <w:t>：</w:t>
      </w:r>
      <w:r>
        <w:rPr>
          <w:rFonts w:hint="eastAsia"/>
          <w:b/>
          <w:bCs/>
          <w:szCs w:val="21"/>
          <w:highlight w:val="none"/>
          <w:lang w:val="en-US" w:eastAsia="zh-CN"/>
        </w:rPr>
        <w:t>科普</w:t>
      </w:r>
    </w:p>
    <w:p w14:paraId="52C74D97">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1B0F659B">
      <w:pPr>
        <w:rPr>
          <w:rFonts w:hint="eastAsia"/>
          <w:bCs/>
          <w:kern w:val="0"/>
          <w:szCs w:val="21"/>
        </w:rPr>
      </w:pPr>
    </w:p>
    <w:p w14:paraId="4101A340">
      <w:pPr>
        <w:ind w:firstLine="420" w:firstLineChars="200"/>
        <w:rPr>
          <w:rFonts w:hint="eastAsia"/>
          <w:bCs/>
          <w:kern w:val="0"/>
          <w:szCs w:val="21"/>
        </w:rPr>
      </w:pPr>
      <w:r>
        <w:rPr>
          <w:rFonts w:hint="eastAsia"/>
          <w:bCs/>
          <w:kern w:val="0"/>
          <w:szCs w:val="21"/>
        </w:rPr>
        <w:t>本书探讨元宇宙——在此理解为一个持久、沉浸且广泛使用的虚拟世界——是否将成为网络空间演变的下一个篇章，以及这对个人、商业和社会的意义。</w:t>
      </w:r>
    </w:p>
    <w:p w14:paraId="663D70C9">
      <w:pPr>
        <w:rPr>
          <w:rFonts w:hint="eastAsia"/>
          <w:bCs/>
          <w:kern w:val="0"/>
          <w:szCs w:val="21"/>
        </w:rPr>
      </w:pPr>
    </w:p>
    <w:p w14:paraId="60EAA3E5">
      <w:pPr>
        <w:ind w:firstLine="420" w:firstLineChars="200"/>
        <w:rPr>
          <w:rFonts w:hint="eastAsia"/>
          <w:bCs/>
          <w:kern w:val="0"/>
          <w:szCs w:val="21"/>
        </w:rPr>
      </w:pPr>
      <w:r>
        <w:rPr>
          <w:rFonts w:hint="eastAsia"/>
          <w:bCs/>
          <w:kern w:val="0"/>
          <w:szCs w:val="21"/>
        </w:rPr>
        <w:t>元宇宙</w:t>
      </w:r>
      <w:r>
        <w:rPr>
          <w:rFonts w:hint="eastAsia"/>
          <w:bCs/>
          <w:kern w:val="0"/>
          <w:szCs w:val="21"/>
          <w:lang w:eastAsia="zh-CN"/>
        </w:rPr>
        <w:t>，</w:t>
      </w:r>
      <w:r>
        <w:rPr>
          <w:rFonts w:hint="eastAsia"/>
          <w:bCs/>
          <w:kern w:val="0"/>
          <w:szCs w:val="21"/>
        </w:rPr>
        <w:t>在不同的视角下，被视为互联网的未来、视频游戏的下一代，或是“一个令人不安的、比Zoom更糟糕的版本。”在许多方面，这种困惑、过度承诺和炒作让人想起了早期对互联网的设想。</w:t>
      </w:r>
    </w:p>
    <w:p w14:paraId="4E5FBFE2">
      <w:pPr>
        <w:rPr>
          <w:rFonts w:hint="eastAsia"/>
          <w:bCs/>
          <w:kern w:val="0"/>
          <w:szCs w:val="21"/>
        </w:rPr>
      </w:pPr>
    </w:p>
    <w:p w14:paraId="57347076">
      <w:pPr>
        <w:ind w:firstLine="420" w:firstLineChars="200"/>
        <w:rPr>
          <w:rFonts w:hint="eastAsia"/>
          <w:bCs/>
          <w:kern w:val="0"/>
          <w:szCs w:val="21"/>
        </w:rPr>
      </w:pPr>
      <w:r>
        <w:rPr>
          <w:rFonts w:hint="eastAsia"/>
          <w:bCs/>
          <w:kern w:val="0"/>
          <w:szCs w:val="21"/>
        </w:rPr>
        <w:t>各公司正在投资元宇宙技术，造成了一场数字淘金热。据福布斯估计，这可能带来超过1万亿美元的收入机会，但也有人对元宇宙的实用性提出质疑，许多公司（包括迪士尼和Meta）转向人工智能，而苹果则继续推出新的空间计算产品。</w:t>
      </w:r>
    </w:p>
    <w:p w14:paraId="69807E2C">
      <w:pPr>
        <w:rPr>
          <w:rFonts w:hint="eastAsia"/>
          <w:bCs/>
          <w:kern w:val="0"/>
          <w:szCs w:val="21"/>
        </w:rPr>
      </w:pPr>
    </w:p>
    <w:p w14:paraId="79D37852">
      <w:pPr>
        <w:ind w:firstLine="420" w:firstLineChars="200"/>
        <w:rPr>
          <w:rFonts w:hint="eastAsia"/>
          <w:bCs/>
          <w:kern w:val="0"/>
          <w:szCs w:val="21"/>
        </w:rPr>
      </w:pPr>
      <w:r>
        <w:rPr>
          <w:rFonts w:hint="eastAsia"/>
          <w:bCs/>
          <w:kern w:val="0"/>
          <w:szCs w:val="21"/>
        </w:rPr>
        <w:t>在《元宇宙：</w:t>
      </w:r>
      <w:r>
        <w:rPr>
          <w:rFonts w:hint="eastAsia"/>
          <w:bCs/>
          <w:kern w:val="0"/>
          <w:szCs w:val="21"/>
          <w:lang w:val="en-US" w:eastAsia="zh-CN"/>
        </w:rPr>
        <w:t>每个人都需要</w:t>
      </w:r>
      <w:r>
        <w:rPr>
          <w:rFonts w:hint="eastAsia"/>
          <w:bCs/>
          <w:kern w:val="0"/>
          <w:szCs w:val="21"/>
        </w:rPr>
        <w:t>知道的事》系列的问答中，本书提供了对元宇宙的理解，阐明其与虚拟现实和增强现实的不同，以及新兴的元宇宙经济。书中讨论了媒体、政治、言论、犯罪与安全、身份和隐私等议题，探索了治理和法律在元宇宙中的运作方式、机器人的权利以及我们的未来。</w:t>
      </w:r>
    </w:p>
    <w:p w14:paraId="60F3D017">
      <w:pPr>
        <w:rPr>
          <w:rFonts w:hint="eastAsia"/>
          <w:bCs/>
          <w:kern w:val="0"/>
          <w:szCs w:val="21"/>
        </w:rPr>
      </w:pPr>
    </w:p>
    <w:p w14:paraId="554EFD56">
      <w:pPr>
        <w:ind w:firstLine="420" w:firstLineChars="200"/>
        <w:rPr>
          <w:rFonts w:hint="eastAsia"/>
          <w:bCs/>
          <w:kern w:val="0"/>
          <w:szCs w:val="21"/>
          <w:lang w:val="en-US" w:eastAsia="zh-CN"/>
        </w:rPr>
      </w:pPr>
      <w:r>
        <w:rPr>
          <w:rFonts w:hint="eastAsia"/>
          <w:bCs/>
          <w:kern w:val="0"/>
          <w:szCs w:val="21"/>
        </w:rPr>
        <w:t>风险很高，公众的困惑也很普遍，使得《元宇宙》成为《</w:t>
      </w:r>
      <w:r>
        <w:rPr>
          <w:rFonts w:hint="eastAsia"/>
          <w:bCs/>
          <w:kern w:val="0"/>
          <w:szCs w:val="21"/>
          <w:lang w:val="en-US" w:eastAsia="zh-CN"/>
        </w:rPr>
        <w:t>每个人都需要</w:t>
      </w:r>
      <w:r>
        <w:rPr>
          <w:rFonts w:hint="eastAsia"/>
          <w:bCs/>
          <w:kern w:val="0"/>
          <w:szCs w:val="21"/>
        </w:rPr>
        <w:t>知道的事》系列的完美补充。</w:t>
      </w:r>
    </w:p>
    <w:p w14:paraId="11B60DB0">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0443E2A4">
      <w:pPr>
        <w:ind w:right="420"/>
        <w:jc w:val="both"/>
        <w:rPr>
          <w:rFonts w:hint="eastAsia"/>
          <w:b w:val="0"/>
          <w:bCs w:val="0"/>
          <w:color w:val="000000"/>
          <w:szCs w:val="21"/>
          <w:lang w:val="en-US" w:eastAsia="zh-CN"/>
        </w:rPr>
      </w:pPr>
    </w:p>
    <w:p w14:paraId="40E83F2E">
      <w:pPr>
        <w:ind w:right="420" w:firstLine="422" w:firstLineChars="200"/>
        <w:jc w:val="both"/>
        <w:rPr>
          <w:rFonts w:hint="eastAsia"/>
          <w:b w:val="0"/>
          <w:bCs w:val="0"/>
          <w:color w:val="000000"/>
          <w:szCs w:val="21"/>
          <w:lang w:val="en-US" w:eastAsia="zh-CN"/>
        </w:rPr>
      </w:pPr>
      <w:bookmarkStart w:id="1" w:name="_GoBack"/>
      <w:bookmarkEnd w:id="1"/>
      <w:r>
        <w:rPr>
          <w:rFonts w:hint="eastAsia"/>
          <w:b/>
          <w:bCs/>
          <w:color w:val="000000"/>
          <w:szCs w:val="21"/>
          <w:lang w:val="en-US" w:eastAsia="zh-CN"/>
        </w:rPr>
        <w:t>斯科特·J· 沙克福德（Scott J. Shackelford）</w:t>
      </w:r>
      <w:r>
        <w:rPr>
          <w:rFonts w:hint="eastAsia"/>
          <w:b w:val="0"/>
          <w:bCs w:val="0"/>
          <w:color w:val="000000"/>
          <w:szCs w:val="21"/>
          <w:lang w:val="en-US" w:eastAsia="zh-CN"/>
        </w:rPr>
        <w:t>是印第安纳大学凯利商学院的商法与伦理学教授。他担任Ostrom Workshop和应用网络安全研究中心的执行主任，同时也是哈佛大学肯尼迪政府学院贝尔弗科学与国际事务中心和斯坦福大学互联网与社会中心的附属学者。沙克福德已撰写超过100篇文章、书章、散文和评论，研究涉及多个领域，曾被《政治家》、《NPR》、《CNN》、《福布斯》、《时代》、《华盛顿邮报》和《洛杉矶时报》等多家媒体报道。他还常为《华尔街日报》、《基督教科学箴言报》和世界经济论坛等媒体撰稿。沙克福德的学术研究和教学获得多个奖项，包括哈佛大学研究奖学金、斯坦福大学胡佛研究所国家奖学金、圣母大学高级研究所杰出奖学金、2014年印第安纳大学杰出年轻教师奖、2015年埃莉诺·奥斯特罗姆奖和2022年《Poets &amp; Quants》最佳40位40岁以下MBA教授奖。</w:t>
      </w:r>
    </w:p>
    <w:p w14:paraId="4D505F55">
      <w:pPr>
        <w:ind w:right="420"/>
        <w:jc w:val="both"/>
        <w:rPr>
          <w:rFonts w:hint="eastAsia"/>
          <w:b/>
          <w:bCs/>
          <w:color w:val="000000"/>
          <w:szCs w:val="21"/>
          <w:lang w:val="en-US" w:eastAsia="zh-CN"/>
        </w:rPr>
      </w:pPr>
    </w:p>
    <w:p w14:paraId="103ADF2D">
      <w:pPr>
        <w:ind w:right="420" w:firstLine="422" w:firstLineChars="200"/>
        <w:jc w:val="both"/>
        <w:rPr>
          <w:rFonts w:hint="eastAsia"/>
          <w:b w:val="0"/>
          <w:bCs w:val="0"/>
          <w:color w:val="000000"/>
          <w:szCs w:val="21"/>
          <w:lang w:val="en-US" w:eastAsia="zh-CN"/>
        </w:rPr>
      </w:pPr>
      <w:r>
        <w:rPr>
          <w:rFonts w:hint="eastAsia"/>
          <w:b/>
          <w:bCs/>
          <w:color w:val="000000"/>
          <w:szCs w:val="21"/>
          <w:lang w:val="en-US" w:eastAsia="zh-CN"/>
        </w:rPr>
        <w:t>斯科特·O·布兰德纳（Scott O. Bradner）</w:t>
      </w:r>
      <w:r>
        <w:rPr>
          <w:rFonts w:hint="eastAsia"/>
          <w:b w:val="0"/>
          <w:bCs w:val="0"/>
          <w:color w:val="000000"/>
          <w:szCs w:val="21"/>
          <w:lang w:val="en-US" w:eastAsia="zh-CN"/>
        </w:rPr>
        <w:t>于2016年从哈佛大学退休，曾在计算机编程、系统管理、网络、IT安全和身份管理领域工作了50年。他参与了哈佛大学原始数据网络、长伍德医疗区网络（LMAnet）和新英格兰学术与研究网络（NEARnet）的设计，是LMAnet、NEARnet和研究与企业网络公司（CoREN）技术委员会的创始主席。布兰德纳在互联网工程任务组（IETF）担任多个角色，包括运营需求领域共同主任（1993-1997）、IPng领域主任（1993-1996）、传输领域主任（1997-2003）和子IP领域主任（2001-2003）。他曾是互联网工程指导小组（IESG）的成员，并当选为互联网协会的受托人，1995年到2003年担任标准副主席，2003年到2016年担任受托人秘书。此外，布兰德纳还曾是IETF行政支持活动（IASA）的成员，以及IETF信托基金的受托人（2012-2016）。</w:t>
      </w:r>
    </w:p>
    <w:p w14:paraId="7CADE507">
      <w:pPr>
        <w:ind w:right="420"/>
        <w:jc w:val="both"/>
        <w:rPr>
          <w:rFonts w:hint="eastAsia"/>
          <w:b/>
          <w:bCs/>
          <w:color w:val="000000"/>
          <w:szCs w:val="21"/>
          <w:lang w:val="en-US" w:eastAsia="zh-CN"/>
        </w:rPr>
      </w:pPr>
    </w:p>
    <w:p w14:paraId="65B073C5">
      <w:pPr>
        <w:ind w:right="420" w:firstLine="422" w:firstLineChars="200"/>
        <w:jc w:val="both"/>
        <w:rPr>
          <w:rFonts w:hint="eastAsia"/>
          <w:b/>
          <w:bCs/>
          <w:color w:val="000000"/>
          <w:szCs w:val="21"/>
          <w:lang w:val="en-US" w:eastAsia="zh-CN"/>
        </w:rPr>
      </w:pPr>
      <w:r>
        <w:rPr>
          <w:rFonts w:hint="eastAsia"/>
          <w:b/>
          <w:bCs/>
          <w:color w:val="000000"/>
          <w:szCs w:val="21"/>
          <w:lang w:val="en-US" w:eastAsia="zh-CN"/>
        </w:rPr>
        <w:t>迈克尔·马迪奥里（Michael Mattioli）</w:t>
      </w:r>
      <w:r>
        <w:rPr>
          <w:rFonts w:hint="eastAsia"/>
          <w:b w:val="0"/>
          <w:bCs w:val="0"/>
          <w:color w:val="000000"/>
          <w:szCs w:val="21"/>
          <w:lang w:val="en-US" w:eastAsia="zh-CN"/>
        </w:rPr>
        <w:t>是印第安纳大学莫里尔法学院的副教授。</w:t>
      </w:r>
    </w:p>
    <w:p w14:paraId="1B5A3D80">
      <w:pPr>
        <w:ind w:right="420"/>
        <w:jc w:val="both"/>
        <w:rPr>
          <w:rFonts w:hint="eastAsia"/>
          <w:b/>
          <w:bCs/>
          <w:color w:val="000000"/>
          <w:szCs w:val="21"/>
          <w:lang w:val="en-US" w:eastAsia="zh-CN"/>
        </w:rPr>
      </w:pPr>
    </w:p>
    <w:p w14:paraId="1DE435EB">
      <w:pPr>
        <w:ind w:right="420" w:firstLine="422" w:firstLineChars="200"/>
        <w:jc w:val="both"/>
        <w:rPr>
          <w:rFonts w:hint="eastAsia"/>
          <w:b w:val="0"/>
          <w:bCs w:val="0"/>
          <w:color w:val="000000"/>
          <w:szCs w:val="21"/>
          <w:lang w:val="en-US" w:eastAsia="zh-CN"/>
        </w:rPr>
      </w:pPr>
      <w:r>
        <w:rPr>
          <w:rFonts w:hint="eastAsia"/>
          <w:b/>
          <w:bCs/>
          <w:color w:val="000000"/>
          <w:szCs w:val="21"/>
          <w:lang w:val="en-US" w:eastAsia="zh-CN"/>
        </w:rPr>
        <w:t>杰弗里·J·普林斯（Jeffrey T. Prince）</w:t>
      </w:r>
      <w:r>
        <w:rPr>
          <w:rFonts w:hint="eastAsia"/>
          <w:b w:val="0"/>
          <w:bCs w:val="0"/>
          <w:color w:val="000000"/>
          <w:szCs w:val="21"/>
          <w:lang w:val="en-US" w:eastAsia="zh-CN"/>
        </w:rPr>
        <w:t>是印第安纳大学凯利商学院的商业经济学与公共政策教授以及哈罗德·A·波林战略管理讲席教授。他于1998年获得迈阿密大学的经济学和数学与统计学双学士学位，并于2004年获得西北大学的经济学博士学位。在加入印第安纳大学之前，他曾在康奈尔大学教授研究生和本科课程。杰弗里在印第安纳大学和康奈尔大学的教学中获得了多项荣誉，同时在西北大学攻读研究生时也获得过教学奖。他的研究范围广泛，涵盖应用经济学，涉及技术和电信市场的需求、互联网扩散、医疗保健监管、保险市场的风险规避以及航空公司之间的质量竞争等主题。他是少数在经济学顶级期刊《美国经济评论》和管理学顶级期刊《管理学会期刊》上发表过论文的经济学家之一。普林斯教授目前担任《经济学与管理战略期刊》的共同编辑，并在《信息经济学与政策期刊》的编辑委员会中任职。在空闲时间，他喜欢扑克、桥牌、跑步和壁球等活动。</w:t>
      </w:r>
    </w:p>
    <w:p w14:paraId="0C6A54CB">
      <w:pPr>
        <w:ind w:right="420"/>
        <w:jc w:val="both"/>
        <w:rPr>
          <w:rFonts w:hint="eastAsia"/>
          <w:b/>
          <w:bCs/>
          <w:color w:val="000000"/>
          <w:szCs w:val="21"/>
          <w:lang w:val="en-US" w:eastAsia="zh-CN"/>
        </w:rPr>
      </w:pPr>
    </w:p>
    <w:p w14:paraId="09EABEDC">
      <w:pPr>
        <w:ind w:right="420" w:firstLine="422" w:firstLineChars="200"/>
        <w:jc w:val="both"/>
        <w:rPr>
          <w:rFonts w:hint="eastAsia"/>
          <w:b w:val="0"/>
          <w:bCs w:val="0"/>
          <w:color w:val="000000"/>
          <w:szCs w:val="21"/>
          <w:lang w:val="en-US" w:eastAsia="zh-CN"/>
        </w:rPr>
      </w:pPr>
      <w:r>
        <w:rPr>
          <w:rFonts w:hint="eastAsia"/>
          <w:b/>
          <w:bCs/>
          <w:color w:val="000000"/>
          <w:szCs w:val="21"/>
          <w:lang w:val="en-US" w:eastAsia="zh-CN"/>
        </w:rPr>
        <w:t>加奥·马利诺蒂（João Marinotti）</w:t>
      </w:r>
      <w:r>
        <w:rPr>
          <w:rFonts w:hint="eastAsia"/>
          <w:b w:val="0"/>
          <w:bCs w:val="0"/>
          <w:color w:val="000000"/>
          <w:szCs w:val="21"/>
          <w:lang w:val="en-US" w:eastAsia="zh-CN"/>
        </w:rPr>
        <w:t>是印第安纳大学莫里尔法学院的副教授，同时与耶鲁大学法学院信息社会项目和印第安纳大学知识产权研究中心有合作关系。马利诺蒂教授专注于财产和私法理论，特别关注人际规范在监管新兴技术时如何作为社会基线。他的研究涵盖数据治理、加密货币和非同质化代币（NFT）以及虚拟现实等主题。此外，他还是法律解释的学者，探讨语言学和语言哲学在法律中的作用。他是虚拟法律与技术研讨会的执行委员会成员，以及美国法学院协会（AALS）法律与解释分会的执行委员会成员。</w:t>
      </w:r>
    </w:p>
    <w:p w14:paraId="27CF5904">
      <w:pPr>
        <w:ind w:right="420"/>
        <w:rPr>
          <w:rFonts w:hint="eastAsia"/>
          <w:b/>
          <w:bCs/>
          <w:color w:val="000000"/>
          <w:szCs w:val="21"/>
          <w:lang w:val="en-US" w:eastAsia="zh-CN"/>
        </w:rPr>
      </w:pPr>
    </w:p>
    <w:p w14:paraId="74FD3423">
      <w:pPr>
        <w:ind w:right="420"/>
        <w:rPr>
          <w:rFonts w:hint="eastAsia"/>
          <w:b/>
          <w:bCs/>
          <w:color w:val="000000"/>
          <w:szCs w:val="21"/>
          <w:lang w:val="en-US" w:eastAsia="zh-CN"/>
        </w:rPr>
      </w:pPr>
    </w:p>
    <w:p w14:paraId="4E554BC1">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C0008F4"/>
    <w:rsid w:val="0C3C7AF6"/>
    <w:rsid w:val="0E6A6913"/>
    <w:rsid w:val="1807337A"/>
    <w:rsid w:val="1A0F6D01"/>
    <w:rsid w:val="1A9478DC"/>
    <w:rsid w:val="1BA86C22"/>
    <w:rsid w:val="2DA34CE1"/>
    <w:rsid w:val="2E357E63"/>
    <w:rsid w:val="36064E9E"/>
    <w:rsid w:val="39582175"/>
    <w:rsid w:val="3AE04ADC"/>
    <w:rsid w:val="3BD419E2"/>
    <w:rsid w:val="3C1934F8"/>
    <w:rsid w:val="432C279F"/>
    <w:rsid w:val="5DE278B4"/>
    <w:rsid w:val="68EE2E29"/>
    <w:rsid w:val="6AEB37C3"/>
    <w:rsid w:val="6EF04BCC"/>
    <w:rsid w:val="72C57A58"/>
    <w:rsid w:val="77503411"/>
    <w:rsid w:val="77E15A7D"/>
    <w:rsid w:val="7A2D7823"/>
    <w:rsid w:val="7D284D6D"/>
    <w:rsid w:val="7DA712D3"/>
    <w:rsid w:val="7DE746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1940</Words>
  <Characters>2537</Characters>
  <Lines>25</Lines>
  <Paragraphs>7</Paragraphs>
  <TotalTime>2</TotalTime>
  <ScaleCrop>false</ScaleCrop>
  <LinksUpToDate>false</LinksUpToDate>
  <CharactersWithSpaces>2590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2024-10-28T02:23:55Z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7E342AC3ED0D4C08BF8E1B911E1EEC9C_13</vt:lpwstr>
  </property>
</Properties>
</file>