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6D8A2">
      <w:pPr>
        <w:jc w:val="center"/>
        <w:rPr>
          <w:b/>
          <w:bCs/>
          <w:color w:val="000000"/>
          <w:sz w:val="18"/>
          <w:szCs w:val="18"/>
          <w:shd w:val="pct10" w:color="auto" w:fill="FFFFFF"/>
        </w:rPr>
      </w:pPr>
    </w:p>
    <w:p w14:paraId="37E178B2">
      <w:pPr>
        <w:jc w:val="center"/>
        <w:rPr>
          <w:b/>
          <w:bCs/>
          <w:color w:val="000000"/>
          <w:sz w:val="36"/>
          <w:szCs w:val="36"/>
          <w:shd w:val="pct10" w:color="auto" w:fill="FFFFFF"/>
        </w:rPr>
      </w:pPr>
      <w:r>
        <w:rPr>
          <w:b/>
          <w:bCs/>
          <w:color w:val="000000"/>
          <w:sz w:val="36"/>
          <w:szCs w:val="36"/>
          <w:shd w:val="pct10" w:color="auto" w:fill="FFFFFF"/>
        </w:rPr>
        <w:t>新 书 推 荐</w:t>
      </w:r>
    </w:p>
    <w:p w14:paraId="5FE02731">
      <w:pPr>
        <w:tabs>
          <w:tab w:val="left" w:pos="341"/>
          <w:tab w:val="left" w:pos="5235"/>
        </w:tabs>
        <w:jc w:val="left"/>
        <w:rPr>
          <w:b/>
          <w:bCs/>
          <w:color w:val="000000"/>
          <w:szCs w:val="18"/>
        </w:rPr>
      </w:pPr>
    </w:p>
    <w:p w14:paraId="354C7D89">
      <w:pPr>
        <w:rPr>
          <w:b/>
          <w:color w:val="000000"/>
          <w:szCs w:val="21"/>
        </w:rPr>
      </w:pPr>
    </w:p>
    <w:p w14:paraId="5278B87A">
      <w:pPr>
        <w:rPr>
          <w:b/>
          <w:color w:val="000000"/>
          <w:szCs w:val="21"/>
        </w:rPr>
      </w:pPr>
      <w:r>
        <w:drawing>
          <wp:anchor distT="0" distB="0" distL="114300" distR="114300" simplePos="0" relativeHeight="251659264" behindDoc="0" locked="0" layoutInCell="1" allowOverlap="1">
            <wp:simplePos x="0" y="0"/>
            <wp:positionH relativeFrom="margin">
              <wp:posOffset>3999230</wp:posOffset>
            </wp:positionH>
            <wp:positionV relativeFrom="paragraph">
              <wp:posOffset>15240</wp:posOffset>
            </wp:positionV>
            <wp:extent cx="1391285" cy="1993900"/>
            <wp:effectExtent l="0" t="0" r="0" b="6350"/>
            <wp:wrapSquare wrapText="bothSides"/>
            <wp:docPr id="21466900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6690036"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391285" cy="1993900"/>
                    </a:xfrm>
                    <a:prstGeom prst="rect">
                      <a:avLst/>
                    </a:prstGeom>
                    <a:noFill/>
                    <a:ln>
                      <a:noFill/>
                    </a:ln>
                  </pic:spPr>
                </pic:pic>
              </a:graphicData>
            </a:graphic>
          </wp:anchor>
        </w:drawing>
      </w:r>
      <w:r>
        <w:rPr>
          <w:b/>
          <w:color w:val="000000"/>
          <w:szCs w:val="21"/>
        </w:rPr>
        <w:t>中文书名：《伊卡洛斯经济学》</w:t>
      </w:r>
    </w:p>
    <w:p w14:paraId="7C49F3A3">
      <w:pPr>
        <w:rPr>
          <w:b/>
          <w:color w:val="000000"/>
          <w:szCs w:val="21"/>
        </w:rPr>
      </w:pPr>
      <w:r>
        <w:rPr>
          <w:b/>
          <w:color w:val="000000"/>
          <w:szCs w:val="21"/>
        </w:rPr>
        <w:t xml:space="preserve">英文书名：THE ICARUS ECONOMY </w:t>
      </w:r>
    </w:p>
    <w:p w14:paraId="3C14B3D1">
      <w:pPr>
        <w:rPr>
          <w:b/>
          <w:color w:val="000000"/>
          <w:szCs w:val="21"/>
        </w:rPr>
      </w:pPr>
      <w:r>
        <w:rPr>
          <w:b/>
          <w:color w:val="000000"/>
          <w:szCs w:val="21"/>
        </w:rPr>
        <w:t>作    者：John Rapley</w:t>
      </w:r>
    </w:p>
    <w:p w14:paraId="01433FA8">
      <w:pPr>
        <w:rPr>
          <w:b/>
          <w:color w:val="000000"/>
          <w:szCs w:val="21"/>
        </w:rPr>
      </w:pPr>
      <w:r>
        <w:rPr>
          <w:b/>
          <w:color w:val="000000"/>
          <w:szCs w:val="21"/>
        </w:rPr>
        <w:t>出 版 社：Atlantic</w:t>
      </w:r>
      <w:bookmarkStart w:id="2" w:name="_GoBack"/>
      <w:bookmarkEnd w:id="2"/>
    </w:p>
    <w:p w14:paraId="0BEDC4A2">
      <w:pPr>
        <w:rPr>
          <w:b/>
          <w:color w:val="000000"/>
          <w:szCs w:val="21"/>
        </w:rPr>
      </w:pPr>
      <w:r>
        <w:rPr>
          <w:b/>
          <w:color w:val="000000"/>
          <w:szCs w:val="21"/>
        </w:rPr>
        <w:t>代理公司：David Higham/ANA/Winney</w:t>
      </w:r>
    </w:p>
    <w:p w14:paraId="3B9D41F6">
      <w:pPr>
        <w:rPr>
          <w:b/>
          <w:color w:val="000000"/>
          <w:szCs w:val="21"/>
        </w:rPr>
      </w:pPr>
      <w:r>
        <w:rPr>
          <w:b/>
          <w:color w:val="000000"/>
          <w:szCs w:val="21"/>
        </w:rPr>
        <w:t>字    数：约45,000词</w:t>
      </w:r>
    </w:p>
    <w:p w14:paraId="1AF847CF">
      <w:pPr>
        <w:rPr>
          <w:b/>
          <w:color w:val="000000"/>
          <w:szCs w:val="21"/>
        </w:rPr>
      </w:pPr>
      <w:r>
        <w:rPr>
          <w:b/>
          <w:color w:val="000000"/>
          <w:szCs w:val="21"/>
        </w:rPr>
        <w:t>出版时间：待定</w:t>
      </w:r>
    </w:p>
    <w:p w14:paraId="41E78C4B">
      <w:pPr>
        <w:rPr>
          <w:b/>
          <w:color w:val="000000"/>
          <w:szCs w:val="21"/>
        </w:rPr>
      </w:pPr>
      <w:r>
        <w:rPr>
          <w:b/>
          <w:color w:val="000000"/>
          <w:szCs w:val="21"/>
        </w:rPr>
        <w:t>代理地区：中国大陆、台湾</w:t>
      </w:r>
    </w:p>
    <w:p w14:paraId="6AFDE6A5">
      <w:pPr>
        <w:rPr>
          <w:b/>
          <w:color w:val="000000"/>
          <w:szCs w:val="21"/>
        </w:rPr>
      </w:pPr>
      <w:r>
        <w:rPr>
          <w:b/>
          <w:color w:val="000000"/>
          <w:szCs w:val="21"/>
        </w:rPr>
        <w:t>审读资料：大纲</w:t>
      </w:r>
    </w:p>
    <w:p w14:paraId="29863A22">
      <w:pPr>
        <w:rPr>
          <w:b/>
          <w:color w:val="000000"/>
          <w:szCs w:val="21"/>
        </w:rPr>
      </w:pPr>
      <w:r>
        <w:rPr>
          <w:b/>
          <w:color w:val="000000"/>
          <w:szCs w:val="21"/>
        </w:rPr>
        <w:t>类    型：大众社科</w:t>
      </w:r>
    </w:p>
    <w:p w14:paraId="1D70FD4D">
      <w:pPr>
        <w:rPr>
          <w:b/>
          <w:bCs/>
          <w:color w:val="000000"/>
          <w:szCs w:val="21"/>
        </w:rPr>
      </w:pPr>
    </w:p>
    <w:p w14:paraId="12B22960">
      <w:pPr>
        <w:rPr>
          <w:b/>
          <w:bCs/>
          <w:color w:val="000000"/>
          <w:szCs w:val="21"/>
        </w:rPr>
      </w:pPr>
    </w:p>
    <w:p w14:paraId="57E9F668">
      <w:pPr>
        <w:rPr>
          <w:color w:val="000000"/>
          <w:szCs w:val="21"/>
        </w:rPr>
      </w:pPr>
      <w:r>
        <w:rPr>
          <w:b/>
          <w:bCs/>
          <w:color w:val="000000"/>
          <w:szCs w:val="21"/>
        </w:rPr>
        <w:t>内容简介：</w:t>
      </w:r>
    </w:p>
    <w:p w14:paraId="459EC5E7">
      <w:pPr>
        <w:rPr>
          <w:color w:val="000000"/>
          <w:szCs w:val="21"/>
        </w:rPr>
      </w:pPr>
    </w:p>
    <w:p w14:paraId="62613C53">
      <w:pPr>
        <w:ind w:firstLine="420" w:firstLineChars="200"/>
        <w:rPr>
          <w:color w:val="000000"/>
          <w:szCs w:val="21"/>
        </w:rPr>
      </w:pPr>
      <w:r>
        <w:rPr>
          <w:color w:val="000000"/>
          <w:szCs w:val="21"/>
        </w:rPr>
        <w:t>气候危机日益严峻的今天，许多人将“去增长”（degrowth）视为最终解决方案，认为我们必须学会减少消费和资源使用。但经济学家约翰在《伊卡洛斯经济》中提出了一个大胆而新颖的观点：去增长早已被嵌入资本主义模型之中，成为发达经济体崛起、停滞、收缩的必然阶段。</w:t>
      </w:r>
    </w:p>
    <w:p w14:paraId="47543A2E">
      <w:pPr>
        <w:rPr>
          <w:color w:val="000000"/>
          <w:szCs w:val="21"/>
        </w:rPr>
      </w:pPr>
    </w:p>
    <w:p w14:paraId="0548E47C">
      <w:pPr>
        <w:ind w:firstLine="420" w:firstLineChars="200"/>
        <w:rPr>
          <w:color w:val="000000"/>
          <w:szCs w:val="21"/>
        </w:rPr>
      </w:pPr>
      <w:r>
        <w:rPr>
          <w:color w:val="000000"/>
          <w:szCs w:val="21"/>
        </w:rPr>
        <w:t>这本书挑战了传统观念，认为西方社会，而非发展中国家，将在气候危机中承受更大的损失。西方社会拥有更多，但也更脆弱，适应变化的成本更高，维持富裕的代价更为昂贵。</w:t>
      </w:r>
    </w:p>
    <w:p w14:paraId="5872207E">
      <w:pPr>
        <w:rPr>
          <w:color w:val="000000"/>
          <w:szCs w:val="21"/>
        </w:rPr>
      </w:pPr>
    </w:p>
    <w:p w14:paraId="2D556B80">
      <w:pPr>
        <w:ind w:firstLine="420" w:firstLineChars="200"/>
        <w:rPr>
          <w:color w:val="000000"/>
          <w:szCs w:val="21"/>
        </w:rPr>
      </w:pPr>
      <w:r>
        <w:rPr>
          <w:color w:val="000000"/>
          <w:szCs w:val="21"/>
        </w:rPr>
        <w:t>然而，危机中也蕴藏着机遇。约翰提出，发达国家拥有资金和技术，可以帮助发展中国家快速脱碳，而发展中国家的发展需求反过来可以为发达国家的技术出口创造市场。这为一种新的马歇尔计划提供了可能：通过建设发展中国家所需的可再生能源基础设施，同时推动西方经济重回可持续轨道。</w:t>
      </w:r>
    </w:p>
    <w:p w14:paraId="4109CC4A">
      <w:pPr>
        <w:rPr>
          <w:color w:val="000000"/>
          <w:szCs w:val="21"/>
        </w:rPr>
      </w:pPr>
    </w:p>
    <w:p w14:paraId="2FEF14F7">
      <w:pPr>
        <w:rPr>
          <w:color w:val="000000"/>
          <w:szCs w:val="21"/>
        </w:rPr>
      </w:pPr>
      <w:r>
        <w:rPr>
          <w:color w:val="000000"/>
          <w:szCs w:val="21"/>
        </w:rPr>
        <w:t>为什么推荐这本书？</w:t>
      </w:r>
    </w:p>
    <w:p w14:paraId="6CDC0044">
      <w:pPr>
        <w:rPr>
          <w:color w:val="000000"/>
          <w:szCs w:val="21"/>
        </w:rPr>
      </w:pPr>
    </w:p>
    <w:p w14:paraId="72329F19">
      <w:pPr>
        <w:rPr>
          <w:color w:val="000000"/>
          <w:szCs w:val="21"/>
        </w:rPr>
      </w:pPr>
      <w:r>
        <w:rPr>
          <w:b/>
          <w:bCs/>
          <w:color w:val="000000"/>
          <w:szCs w:val="21"/>
        </w:rPr>
        <w:t>·颠覆性观点：</w:t>
      </w:r>
      <w:r>
        <w:rPr>
          <w:color w:val="000000"/>
          <w:szCs w:val="21"/>
        </w:rPr>
        <w:t>打破“去增长”是唯一出路的传统思维，提出资本主义模型内生的收缩逻辑。</w:t>
      </w:r>
    </w:p>
    <w:p w14:paraId="1B0E7986">
      <w:pPr>
        <w:rPr>
          <w:color w:val="000000"/>
          <w:szCs w:val="21"/>
        </w:rPr>
      </w:pPr>
      <w:r>
        <w:rPr>
          <w:b/>
          <w:bCs/>
          <w:color w:val="000000"/>
          <w:szCs w:val="21"/>
        </w:rPr>
        <w:t>·全球视角：</w:t>
      </w:r>
      <w:r>
        <w:rPr>
          <w:color w:val="000000"/>
          <w:szCs w:val="21"/>
        </w:rPr>
        <w:t>重新审视发达国家与发展中国家在气候危机中的角色与责任。</w:t>
      </w:r>
    </w:p>
    <w:p w14:paraId="1558C267">
      <w:pPr>
        <w:rPr>
          <w:color w:val="000000"/>
          <w:szCs w:val="21"/>
        </w:rPr>
      </w:pPr>
      <w:r>
        <w:rPr>
          <w:b/>
          <w:bCs/>
          <w:color w:val="000000"/>
          <w:szCs w:val="21"/>
        </w:rPr>
        <w:t>·务实解决方案：</w:t>
      </w:r>
      <w:r>
        <w:rPr>
          <w:color w:val="000000"/>
          <w:szCs w:val="21"/>
        </w:rPr>
        <w:t>提出一种新的国际合作模式，既解决气候问题，又推动全球经济可持续发展。</w:t>
      </w:r>
    </w:p>
    <w:p w14:paraId="0926B027">
      <w:pPr>
        <w:rPr>
          <w:color w:val="000000"/>
          <w:szCs w:val="21"/>
        </w:rPr>
      </w:pPr>
      <w:r>
        <w:rPr>
          <w:b/>
          <w:bCs/>
          <w:color w:val="000000"/>
          <w:szCs w:val="21"/>
        </w:rPr>
        <w:t>·短小精悍：</w:t>
      </w:r>
      <w:r>
        <w:rPr>
          <w:color w:val="000000"/>
          <w:szCs w:val="21"/>
        </w:rPr>
        <w:t>仅45,000词，观点犀利，语言简洁，适合忙碌的读者快速抓住核心思想。</w:t>
      </w:r>
    </w:p>
    <w:p w14:paraId="43861B93">
      <w:pPr>
        <w:rPr>
          <w:color w:val="000000"/>
          <w:szCs w:val="21"/>
        </w:rPr>
      </w:pPr>
    </w:p>
    <w:p w14:paraId="639EC6F9">
      <w:pPr>
        <w:rPr>
          <w:color w:val="000000"/>
          <w:szCs w:val="21"/>
        </w:rPr>
      </w:pPr>
    </w:p>
    <w:p w14:paraId="5D4432F8">
      <w:pPr>
        <w:rPr>
          <w:b/>
          <w:bCs/>
          <w:color w:val="000000"/>
          <w:szCs w:val="21"/>
        </w:rPr>
      </w:pPr>
      <w:r>
        <w:rPr>
          <w:b/>
          <w:bCs/>
          <w:color w:val="000000"/>
          <w:szCs w:val="21"/>
        </w:rPr>
        <w:t>作者简介：</w:t>
      </w:r>
    </w:p>
    <w:p w14:paraId="1C643F3E">
      <w:pPr>
        <w:rPr>
          <w:color w:val="000000"/>
          <w:szCs w:val="21"/>
        </w:rPr>
      </w:pPr>
    </w:p>
    <w:p w14:paraId="4CDAFD9F">
      <w:pPr>
        <w:ind w:firstLine="420" w:firstLineChars="200"/>
        <w:rPr>
          <w:color w:val="000000"/>
          <w:szCs w:val="21"/>
        </w:rPr>
      </w:pPr>
      <w:r>
        <w:drawing>
          <wp:anchor distT="0" distB="0" distL="114300" distR="114300" simplePos="0" relativeHeight="251660288" behindDoc="0" locked="0" layoutInCell="1" allowOverlap="1">
            <wp:simplePos x="0" y="0"/>
            <wp:positionH relativeFrom="margin">
              <wp:posOffset>-635</wp:posOffset>
            </wp:positionH>
            <wp:positionV relativeFrom="paragraph">
              <wp:posOffset>14605</wp:posOffset>
            </wp:positionV>
            <wp:extent cx="901700" cy="1127125"/>
            <wp:effectExtent l="0" t="0" r="0" b="0"/>
            <wp:wrapSquare wrapText="bothSides"/>
            <wp:docPr id="58279070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790709" name="图片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901700" cy="1127125"/>
                    </a:xfrm>
                    <a:prstGeom prst="rect">
                      <a:avLst/>
                    </a:prstGeom>
                    <a:noFill/>
                    <a:ln>
                      <a:noFill/>
                    </a:ln>
                  </pic:spPr>
                </pic:pic>
              </a:graphicData>
            </a:graphic>
          </wp:anchor>
        </w:drawing>
      </w:r>
      <w:r>
        <w:rPr>
          <w:b/>
          <w:bCs/>
          <w:color w:val="000000"/>
          <w:szCs w:val="21"/>
        </w:rPr>
        <w:t>约翰·拉普利（John Rapley）</w:t>
      </w:r>
      <w:r>
        <w:rPr>
          <w:color w:val="000000"/>
          <w:szCs w:val="21"/>
        </w:rPr>
        <w:t>，剑桥大学政治经济学家，约翰内斯堡高级研究所的高级研究员。他的著作包括《理解发展》（Understanding Development），该书仍是发展研究领域的广泛使用教材，以及《全球化与不平等》（Globalization and Inequality）和最近的《金钱神祇的黄昏：经济学作为一种宗教及其如何走向失败》（Twilight of the Money Gods: Economics as a Religion and How it all Went Wrong）。</w:t>
      </w:r>
    </w:p>
    <w:p w14:paraId="023F579F">
      <w:pPr>
        <w:rPr>
          <w:color w:val="000000"/>
          <w:szCs w:val="21"/>
        </w:rPr>
      </w:pPr>
    </w:p>
    <w:p w14:paraId="08409D46">
      <w:pPr>
        <w:rPr>
          <w:color w:val="000000"/>
          <w:szCs w:val="21"/>
        </w:rPr>
      </w:pPr>
    </w:p>
    <w:p w14:paraId="31DE381C">
      <w:pPr>
        <w:rPr>
          <w:b/>
          <w:bCs/>
          <w:color w:val="000000"/>
          <w:szCs w:val="21"/>
        </w:rPr>
      </w:pPr>
      <w:r>
        <w:rPr>
          <w:b/>
          <w:bCs/>
          <w:color w:val="000000"/>
          <w:szCs w:val="21"/>
        </w:rPr>
        <w:t>媒体评价：</w:t>
      </w:r>
    </w:p>
    <w:p w14:paraId="351B4E0F">
      <w:pPr>
        <w:rPr>
          <w:color w:val="000000"/>
          <w:szCs w:val="21"/>
        </w:rPr>
      </w:pPr>
    </w:p>
    <w:p w14:paraId="189921E0">
      <w:pPr>
        <w:rPr>
          <w:color w:val="000000"/>
          <w:szCs w:val="21"/>
        </w:rPr>
      </w:pPr>
      <w:r>
        <w:rPr>
          <w:color w:val="000000"/>
          <w:szCs w:val="21"/>
        </w:rPr>
        <w:t>对前作《帝国为何衰落》（WHY EMPIRES FALL）的赞誉：</w:t>
      </w:r>
    </w:p>
    <w:p w14:paraId="3F504568">
      <w:pPr>
        <w:rPr>
          <w:color w:val="000000"/>
          <w:szCs w:val="21"/>
        </w:rPr>
      </w:pPr>
    </w:p>
    <w:p w14:paraId="61789B9A">
      <w:pPr>
        <w:ind w:firstLine="420" w:firstLineChars="200"/>
        <w:rPr>
          <w:color w:val="000000"/>
          <w:szCs w:val="21"/>
        </w:rPr>
      </w:pPr>
      <w:r>
        <w:rPr>
          <w:color w:val="000000"/>
          <w:szCs w:val="21"/>
        </w:rPr>
        <w:t>“一部引人入胜、信息丰富且深思熟虑的作品。”</w:t>
      </w:r>
    </w:p>
    <w:p w14:paraId="55501E01">
      <w:pPr>
        <w:jc w:val="right"/>
        <w:rPr>
          <w:color w:val="000000"/>
          <w:szCs w:val="21"/>
        </w:rPr>
      </w:pPr>
      <w:r>
        <w:rPr>
          <w:color w:val="000000"/>
          <w:szCs w:val="21"/>
        </w:rPr>
        <w:t>——《金融时报》</w:t>
      </w:r>
    </w:p>
    <w:p w14:paraId="22ECAE49">
      <w:pPr>
        <w:rPr>
          <w:color w:val="000000"/>
          <w:szCs w:val="21"/>
        </w:rPr>
      </w:pPr>
    </w:p>
    <w:p w14:paraId="7D9BF689">
      <w:pPr>
        <w:ind w:firstLine="420" w:firstLineChars="200"/>
        <w:rPr>
          <w:color w:val="000000"/>
          <w:szCs w:val="21"/>
        </w:rPr>
      </w:pPr>
      <w:r>
        <w:rPr>
          <w:color w:val="000000"/>
          <w:szCs w:val="21"/>
        </w:rPr>
        <w:t>“一本有用的后吉本式指南，解释了罗马帝国为何衰落……一部有趣的论战性作品。”</w:t>
      </w:r>
    </w:p>
    <w:p w14:paraId="634DCE5E">
      <w:pPr>
        <w:jc w:val="right"/>
        <w:rPr>
          <w:color w:val="000000"/>
          <w:szCs w:val="21"/>
        </w:rPr>
      </w:pPr>
      <w:r>
        <w:rPr>
          <w:color w:val="000000"/>
          <w:szCs w:val="21"/>
        </w:rPr>
        <w:t>——《每日电讯报》</w:t>
      </w:r>
    </w:p>
    <w:p w14:paraId="73A40AFF">
      <w:pPr>
        <w:rPr>
          <w:color w:val="000000"/>
          <w:szCs w:val="21"/>
        </w:rPr>
      </w:pPr>
    </w:p>
    <w:p w14:paraId="3AF2DBDE">
      <w:pPr>
        <w:ind w:firstLine="420" w:firstLineChars="200"/>
        <w:rPr>
          <w:color w:val="000000"/>
          <w:szCs w:val="21"/>
        </w:rPr>
      </w:pPr>
      <w:r>
        <w:rPr>
          <w:color w:val="000000"/>
          <w:szCs w:val="21"/>
        </w:rPr>
        <w:t>“一部具有挑衅性的短篇著作……带有新颖的转折。”</w:t>
      </w:r>
    </w:p>
    <w:p w14:paraId="11E9A6D2">
      <w:pPr>
        <w:jc w:val="right"/>
        <w:rPr>
          <w:color w:val="000000"/>
          <w:szCs w:val="21"/>
        </w:rPr>
      </w:pPr>
      <w:r>
        <w:rPr>
          <w:color w:val="000000"/>
          <w:szCs w:val="21"/>
        </w:rPr>
        <w:t>——《经济学人》</w:t>
      </w:r>
    </w:p>
    <w:p w14:paraId="75247466">
      <w:pPr>
        <w:rPr>
          <w:color w:val="000000"/>
          <w:szCs w:val="21"/>
        </w:rPr>
      </w:pPr>
    </w:p>
    <w:p w14:paraId="4BB19197">
      <w:pPr>
        <w:ind w:firstLine="420" w:firstLineChars="200"/>
        <w:rPr>
          <w:color w:val="000000"/>
          <w:szCs w:val="21"/>
        </w:rPr>
      </w:pPr>
      <w:r>
        <w:rPr>
          <w:color w:val="000000"/>
          <w:szCs w:val="21"/>
        </w:rPr>
        <w:t>“一部迷人的书。”</w:t>
      </w:r>
    </w:p>
    <w:p w14:paraId="762B3CBF">
      <w:pPr>
        <w:jc w:val="right"/>
        <w:rPr>
          <w:color w:val="000000"/>
          <w:szCs w:val="21"/>
        </w:rPr>
      </w:pPr>
      <w:r>
        <w:rPr>
          <w:color w:val="000000"/>
          <w:szCs w:val="21"/>
        </w:rPr>
        <w:t>——《金融时报》，“2023年夏季最佳经济学书籍”</w:t>
      </w:r>
    </w:p>
    <w:p w14:paraId="16764EBA">
      <w:pPr>
        <w:rPr>
          <w:color w:val="000000"/>
          <w:szCs w:val="21"/>
        </w:rPr>
      </w:pPr>
    </w:p>
    <w:p w14:paraId="2C1157C8">
      <w:pPr>
        <w:ind w:firstLine="420" w:firstLineChars="200"/>
        <w:rPr>
          <w:color w:val="000000"/>
          <w:szCs w:val="21"/>
        </w:rPr>
      </w:pPr>
      <w:r>
        <w:rPr>
          <w:color w:val="000000"/>
          <w:szCs w:val="21"/>
        </w:rPr>
        <w:t>“一部简短、冷静（且发人深省）的著作，描述了我们现在的处境以及我们可能走向何方……清晰且引人入胜……令人震惊的事实和数据。”</w:t>
      </w:r>
    </w:p>
    <w:p w14:paraId="738E5EA7">
      <w:pPr>
        <w:jc w:val="right"/>
        <w:rPr>
          <w:color w:val="000000"/>
          <w:szCs w:val="21"/>
        </w:rPr>
      </w:pPr>
      <w:r>
        <w:rPr>
          <w:color w:val="000000"/>
          <w:szCs w:val="21"/>
        </w:rPr>
        <w:t>——《泰晤士报文学增刊》</w:t>
      </w:r>
    </w:p>
    <w:p w14:paraId="37D21844">
      <w:pPr>
        <w:rPr>
          <w:color w:val="000000"/>
          <w:szCs w:val="21"/>
        </w:rPr>
      </w:pPr>
    </w:p>
    <w:p w14:paraId="34B7AB08">
      <w:pPr>
        <w:rPr>
          <w:b/>
          <w:color w:val="000000"/>
        </w:rPr>
      </w:pPr>
    </w:p>
    <w:p w14:paraId="05292C33">
      <w:pPr>
        <w:shd w:val="clear" w:color="auto" w:fill="FFFFFF"/>
        <w:rPr>
          <w:color w:val="000000"/>
          <w:szCs w:val="21"/>
        </w:rPr>
      </w:pPr>
      <w:bookmarkStart w:id="0" w:name="OLE_LINK38"/>
      <w:bookmarkStart w:id="1" w:name="OLE_LINK43"/>
      <w:r>
        <w:rPr>
          <w:b/>
          <w:bCs/>
          <w:color w:val="000000"/>
          <w:szCs w:val="21"/>
        </w:rPr>
        <w:t>感谢您的阅读！</w:t>
      </w:r>
    </w:p>
    <w:p w14:paraId="17914F49">
      <w:pPr>
        <w:rPr>
          <w:rFonts w:eastAsia="华文中宋"/>
          <w:b/>
          <w:color w:val="000000"/>
          <w:szCs w:val="21"/>
        </w:rPr>
      </w:pPr>
      <w:r>
        <w:rPr>
          <w:b/>
          <w:color w:val="000000"/>
          <w:szCs w:val="21"/>
        </w:rPr>
        <w:t>请将反馈信息发至：</w:t>
      </w:r>
      <w:r>
        <w:rPr>
          <w:rFonts w:eastAsia="华文中宋"/>
          <w:b/>
          <w:color w:val="000000"/>
          <w:szCs w:val="21"/>
        </w:rPr>
        <w:t>版权负责人</w:t>
      </w:r>
    </w:p>
    <w:p w14:paraId="3C9B642F">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305F2F8C">
      <w:pPr>
        <w:rPr>
          <w:b/>
          <w:color w:val="000000"/>
          <w:szCs w:val="21"/>
        </w:rPr>
      </w:pPr>
      <w:r>
        <w:rPr>
          <w:color w:val="000000"/>
          <w:szCs w:val="21"/>
        </w:rPr>
        <w:t>安德鲁·纳伯格联合国际有限公司北京代表处</w:t>
      </w:r>
    </w:p>
    <w:p w14:paraId="4EAFEAD8">
      <w:pPr>
        <w:rPr>
          <w:b/>
          <w:color w:val="000000"/>
          <w:szCs w:val="21"/>
        </w:rPr>
      </w:pPr>
      <w:r>
        <w:rPr>
          <w:color w:val="000000"/>
          <w:szCs w:val="21"/>
        </w:rPr>
        <w:t>北京市海淀区中关村大街甲59号中国人民大学文化大厦1705室, 邮编：100872</w:t>
      </w:r>
    </w:p>
    <w:p w14:paraId="4DD14A44">
      <w:pPr>
        <w:rPr>
          <w:b/>
          <w:color w:val="000000"/>
          <w:szCs w:val="21"/>
        </w:rPr>
      </w:pPr>
      <w:r>
        <w:rPr>
          <w:color w:val="000000"/>
          <w:szCs w:val="21"/>
        </w:rPr>
        <w:t>电话：010-82504106, 传真：010-82504200</w:t>
      </w:r>
    </w:p>
    <w:p w14:paraId="711AFED2">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33AEC29D">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526CD27B">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33D3A388">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593572FE">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72896B43">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1CE4E63F">
      <w:pPr>
        <w:shd w:val="clear" w:color="auto" w:fill="FFFFFF"/>
        <w:rPr>
          <w:b/>
          <w:color w:val="000000"/>
        </w:rPr>
      </w:pPr>
      <w:r>
        <w:rPr>
          <w:color w:val="000000"/>
          <w:szCs w:val="21"/>
        </w:rPr>
        <w:t>微信订阅号：ANABJ2002</w:t>
      </w:r>
    </w:p>
    <w:bookmarkEnd w:id="0"/>
    <w:bookmarkEnd w:id="1"/>
    <w:p w14:paraId="1461D0F0">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79936B2">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B422">
    <w:pPr>
      <w:pBdr>
        <w:bottom w:val="single" w:color="auto" w:sz="6" w:space="1"/>
      </w:pBdr>
      <w:jc w:val="center"/>
      <w:rPr>
        <w:rFonts w:ascii="方正姚体" w:eastAsia="方正姚体"/>
        <w:sz w:val="18"/>
      </w:rPr>
    </w:pPr>
  </w:p>
  <w:p w14:paraId="7F437150">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95EF8A8">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2B7622C5">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6E209BF5">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4B5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0A815FA">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13551"/>
    <w:rsid w:val="00121268"/>
    <w:rsid w:val="00123E4A"/>
    <w:rsid w:val="00132921"/>
    <w:rsid w:val="00133091"/>
    <w:rsid w:val="00133C63"/>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55DE2"/>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634B"/>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2103A"/>
    <w:rsid w:val="00655FA9"/>
    <w:rsid w:val="006656BA"/>
    <w:rsid w:val="00667C85"/>
    <w:rsid w:val="00680EFB"/>
    <w:rsid w:val="006A32E8"/>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1CC6"/>
    <w:rsid w:val="00953C63"/>
    <w:rsid w:val="0095747D"/>
    <w:rsid w:val="00965230"/>
    <w:rsid w:val="00973993"/>
    <w:rsid w:val="00973E1A"/>
    <w:rsid w:val="009836C5"/>
    <w:rsid w:val="00995581"/>
    <w:rsid w:val="0099584D"/>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40A3"/>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60B95"/>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424C7E"/>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1089</Words>
  <Characters>1537</Characters>
  <Lines>14</Lines>
  <Paragraphs>4</Paragraphs>
  <TotalTime>11</TotalTime>
  <ScaleCrop>false</ScaleCrop>
  <LinksUpToDate>false</LinksUpToDate>
  <CharactersWithSpaces>1582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2025-02-12T06:29:00Z</dcterms:created>
  <dc:creator>Image</dc:creator>
  <cp:lastModifiedBy>SEER</cp:lastModifiedBy>
  <cp:lastPrinted>2005-06-10T06:33:00Z</cp:lastPrinted>
  <dcterms:modified xsi:type="dcterms:W3CDTF">2025-02-24T07:23:41Z</dcterms:modified>
  <dc:title>新 书 推 荐</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F14F8B46BF744FFAB57CFF233A59FD23_13</vt:lpwstr>
  </property>
</Properties>
</file>