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4E0CE">
      <w:pPr>
        <w:jc w:val="center"/>
        <w:rPr>
          <w:b/>
          <w:bCs/>
          <w:color w:val="000000"/>
          <w:sz w:val="18"/>
          <w:szCs w:val="18"/>
          <w:shd w:val="pct10" w:color="auto" w:fill="FFFFFF"/>
        </w:rPr>
      </w:pPr>
    </w:p>
    <w:p w14:paraId="25B71B03">
      <w:pPr>
        <w:jc w:val="center"/>
        <w:rPr>
          <w:b/>
          <w:bCs/>
          <w:color w:val="000000"/>
          <w:sz w:val="36"/>
          <w:szCs w:val="36"/>
          <w:shd w:val="pct10" w:color="auto" w:fill="FFFFFF"/>
        </w:rPr>
      </w:pPr>
      <w:r>
        <w:rPr>
          <w:b/>
          <w:bCs/>
          <w:color w:val="000000"/>
          <w:sz w:val="36"/>
          <w:szCs w:val="36"/>
          <w:shd w:val="pct10" w:color="auto" w:fill="FFFFFF"/>
        </w:rPr>
        <w:t>新 书 推 荐</w:t>
      </w:r>
    </w:p>
    <w:p w14:paraId="7DCF24FC">
      <w:pPr>
        <w:tabs>
          <w:tab w:val="left" w:pos="341"/>
          <w:tab w:val="left" w:pos="5235"/>
        </w:tabs>
        <w:jc w:val="left"/>
        <w:rPr>
          <w:b/>
          <w:bCs/>
          <w:color w:val="000000"/>
          <w:szCs w:val="18"/>
        </w:rPr>
      </w:pPr>
    </w:p>
    <w:p w14:paraId="33C068B3">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4372610</wp:posOffset>
            </wp:positionH>
            <wp:positionV relativeFrom="paragraph">
              <wp:posOffset>150495</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2B4D1090">
      <w:pPr>
        <w:rPr>
          <w:b/>
          <w:color w:val="000000"/>
          <w:szCs w:val="21"/>
        </w:rPr>
      </w:pPr>
      <w:r>
        <w:rPr>
          <w:b/>
          <w:color w:val="000000"/>
          <w:szCs w:val="21"/>
        </w:rPr>
        <w:t>中文书名：</w:t>
      </w:r>
      <w:r>
        <w:rPr>
          <w:rFonts w:hint="eastAsia"/>
          <w:b/>
          <w:color w:val="000000"/>
          <w:szCs w:val="21"/>
        </w:rPr>
        <w:t>《</w:t>
      </w:r>
      <w:r>
        <w:rPr>
          <w:b/>
          <w:color w:val="000000"/>
          <w:szCs w:val="21"/>
        </w:rPr>
        <w:t>长寿</w:t>
      </w:r>
      <w:r>
        <w:rPr>
          <w:rFonts w:hint="eastAsia"/>
          <w:b/>
          <w:color w:val="000000"/>
          <w:szCs w:val="21"/>
          <w:lang w:val="en-US" w:eastAsia="zh-CN"/>
        </w:rPr>
        <w:t>公式</w:t>
      </w:r>
      <w:r>
        <w:rPr>
          <w:b/>
          <w:color w:val="000000"/>
          <w:szCs w:val="21"/>
        </w:rPr>
        <w:t>：解码衰老的转折点</w:t>
      </w:r>
      <w:r>
        <w:rPr>
          <w:rFonts w:hint="eastAsia"/>
          <w:b/>
          <w:color w:val="000000"/>
          <w:szCs w:val="21"/>
        </w:rPr>
        <w:t>》</w:t>
      </w:r>
    </w:p>
    <w:p w14:paraId="252C8CE0">
      <w:pPr>
        <w:pStyle w:val="38"/>
        <w:rPr>
          <w:b/>
          <w:sz w:val="21"/>
          <w:szCs w:val="21"/>
        </w:rPr>
      </w:pPr>
      <w:r>
        <w:rPr>
          <w:rFonts w:ascii="Times New Roman" w:hAnsi="Times New Roman" w:eastAsia="宋体" w:cs="Times New Roman"/>
          <w:b/>
          <w:color w:val="000000"/>
          <w:kern w:val="2"/>
          <w:sz w:val="21"/>
          <w:szCs w:val="21"/>
          <w:lang w:val="en-US" w:eastAsia="zh-CN" w:bidi="ar-SA"/>
        </w:rPr>
        <w:t>英文书名</w:t>
      </w:r>
      <w:r>
        <w:rPr>
          <w:b/>
          <w:szCs w:val="21"/>
        </w:rPr>
        <w:t>：</w:t>
      </w:r>
      <w:r>
        <w:rPr>
          <w:rFonts w:ascii="Times New Roman" w:hAnsi="Times New Roman" w:eastAsia="宋体" w:cs="Times New Roman"/>
          <w:b/>
          <w:color w:val="000000"/>
          <w:kern w:val="2"/>
          <w:sz w:val="21"/>
          <w:szCs w:val="21"/>
          <w:lang w:val="en-US" w:eastAsia="zh-CN" w:bidi="ar-SA"/>
        </w:rPr>
        <w:t>The Longevity Formula：A Turning Point in Decoding Aging</w:t>
      </w:r>
    </w:p>
    <w:p w14:paraId="1E3AA496">
      <w:pPr>
        <w:keepNext w:val="0"/>
        <w:keepLines w:val="0"/>
        <w:widowControl/>
        <w:suppressLineNumbers w:val="0"/>
        <w:jc w:val="left"/>
        <w:rPr>
          <w:b/>
          <w:color w:val="000000"/>
          <w:szCs w:val="21"/>
        </w:rPr>
      </w:pPr>
      <w:r>
        <w:rPr>
          <w:b/>
          <w:color w:val="000000"/>
          <w:szCs w:val="21"/>
        </w:rPr>
        <w:t>作    者：</w:t>
      </w:r>
      <w:r>
        <w:rPr>
          <w:rFonts w:ascii="Times New Roman" w:hAnsi="Times New Roman" w:eastAsia="宋体" w:cs="Times New Roman"/>
          <w:b/>
          <w:color w:val="000000"/>
          <w:kern w:val="2"/>
          <w:sz w:val="21"/>
          <w:szCs w:val="21"/>
          <w:lang w:val="en-US" w:eastAsia="zh-CN" w:bidi="ar-SA"/>
        </w:rPr>
        <w:t>Ram Hariharan and Matt Kaeberlein</w:t>
      </w:r>
    </w:p>
    <w:p w14:paraId="6CE9896B">
      <w:pPr>
        <w:rPr>
          <w:rFonts w:hint="default" w:eastAsia="宋体"/>
          <w:b/>
          <w:color w:val="000000"/>
          <w:szCs w:val="21"/>
          <w:lang w:val="en-US" w:eastAsia="zh-CN"/>
        </w:rPr>
      </w:pPr>
      <w:r>
        <w:rPr>
          <w:b/>
          <w:color w:val="000000"/>
          <w:szCs w:val="21"/>
        </w:rPr>
        <w:t xml:space="preserve">出 版 社：Penguin/ Penguin </w:t>
      </w:r>
      <w:r>
        <w:rPr>
          <w:rFonts w:hint="eastAsia"/>
          <w:b/>
          <w:color w:val="000000"/>
          <w:szCs w:val="21"/>
          <w:lang w:val="en-US" w:eastAsia="zh-CN"/>
        </w:rPr>
        <w:t>Press</w:t>
      </w:r>
    </w:p>
    <w:p w14:paraId="462A20F2">
      <w:pPr>
        <w:rPr>
          <w:b/>
          <w:color w:val="000000"/>
          <w:szCs w:val="21"/>
        </w:rPr>
      </w:pPr>
      <w:r>
        <w:rPr>
          <w:b/>
          <w:color w:val="000000"/>
          <w:szCs w:val="21"/>
        </w:rPr>
        <w:t>代理公司：ANA/Jessica</w:t>
      </w:r>
    </w:p>
    <w:p w14:paraId="5A595653">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192页</w:t>
      </w:r>
    </w:p>
    <w:p w14:paraId="724FE5D8">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1</w:t>
      </w:r>
      <w:r>
        <w:rPr>
          <w:rFonts w:hint="eastAsia"/>
          <w:b/>
          <w:color w:val="000000"/>
          <w:szCs w:val="21"/>
        </w:rPr>
        <w:t>月</w:t>
      </w:r>
    </w:p>
    <w:p w14:paraId="499FB6C9">
      <w:pPr>
        <w:rPr>
          <w:b/>
          <w:color w:val="000000"/>
          <w:szCs w:val="21"/>
        </w:rPr>
      </w:pPr>
      <w:r>
        <w:rPr>
          <w:b/>
          <w:color w:val="000000"/>
          <w:szCs w:val="21"/>
        </w:rPr>
        <w:t>代理地区：中国大陆、台湾</w:t>
      </w:r>
    </w:p>
    <w:p w14:paraId="6CEE1CBB">
      <w:pPr>
        <w:rPr>
          <w:b/>
          <w:color w:val="000000"/>
          <w:szCs w:val="21"/>
        </w:rPr>
      </w:pPr>
      <w:r>
        <w:rPr>
          <w:b/>
          <w:color w:val="000000"/>
          <w:szCs w:val="21"/>
        </w:rPr>
        <w:t>审读资料：</w:t>
      </w:r>
      <w:r>
        <w:rPr>
          <w:rFonts w:hint="eastAsia"/>
          <w:b/>
          <w:color w:val="000000"/>
          <w:szCs w:val="21"/>
        </w:rPr>
        <w:t>暂无（可先登记兴趣）</w:t>
      </w:r>
    </w:p>
    <w:p w14:paraId="69D46B98">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大众社科</w:t>
      </w:r>
    </w:p>
    <w:p w14:paraId="07840204">
      <w:pPr>
        <w:rPr>
          <w:sz w:val="19"/>
          <w:szCs w:val="19"/>
        </w:rPr>
      </w:pPr>
      <w:bookmarkStart w:id="2" w:name="_GoBack"/>
      <w:bookmarkEnd w:id="2"/>
    </w:p>
    <w:p w14:paraId="29C25C8E">
      <w:pPr>
        <w:rPr>
          <w:b/>
          <w:bCs/>
          <w:color w:val="000000"/>
          <w:szCs w:val="21"/>
        </w:rPr>
      </w:pPr>
    </w:p>
    <w:p w14:paraId="6B0BBC09">
      <w:pPr>
        <w:rPr>
          <w:b/>
          <w:bCs/>
          <w:color w:val="000000"/>
          <w:szCs w:val="21"/>
        </w:rPr>
      </w:pPr>
      <w:r>
        <w:rPr>
          <w:b/>
          <w:bCs/>
          <w:color w:val="000000"/>
          <w:szCs w:val="21"/>
        </w:rPr>
        <w:t>内容简介：</w:t>
      </w:r>
    </w:p>
    <w:p w14:paraId="00269A72">
      <w:pPr>
        <w:rPr>
          <w:rFonts w:hint="default" w:ascii="Segoe UI" w:hAnsi="Segoe UI" w:cs="Segoe UI"/>
          <w:color w:val="2A2F45"/>
          <w:szCs w:val="21"/>
          <w:shd w:val="clear" w:color="auto" w:fill="FFFFFF"/>
          <w:lang w:val="en-US" w:eastAsia="zh-CN"/>
        </w:rPr>
      </w:pPr>
    </w:p>
    <w:p w14:paraId="655C6230">
      <w:pPr>
        <w:ind w:firstLine="420" w:firstLineChars="200"/>
        <w:rPr>
          <w:rFonts w:hint="eastAsia" w:ascii="Segoe UI" w:hAnsi="Segoe UI" w:cs="Segoe UI"/>
          <w:color w:val="2A2F45"/>
          <w:szCs w:val="21"/>
          <w:shd w:val="clear" w:color="auto" w:fill="FFFFFF"/>
          <w:lang w:val="en-US" w:eastAsia="zh-CN"/>
        </w:rPr>
      </w:pPr>
      <w:r>
        <w:rPr>
          <w:rFonts w:hint="default" w:ascii="Segoe UI" w:hAnsi="Segoe UI" w:cs="Segoe UI"/>
          <w:color w:val="2A2F45"/>
          <w:szCs w:val="21"/>
          <w:shd w:val="clear" w:color="auto" w:fill="FFFFFF"/>
          <w:lang w:val="en-US" w:eastAsia="zh-CN"/>
        </w:rPr>
        <w:t>当有关长生不老的说法在网上疯传时，全球专家揭示了科学依据，让人们忽略炒作，关注真正能带来变革的因素</w:t>
      </w:r>
      <w:r>
        <w:rPr>
          <w:rFonts w:hint="eastAsia" w:ascii="Segoe UI" w:hAnsi="Segoe UI" w:cs="Segoe UI"/>
          <w:color w:val="2A2F45"/>
          <w:szCs w:val="21"/>
          <w:shd w:val="clear" w:color="auto" w:fill="FFFFFF"/>
          <w:lang w:val="en-US" w:eastAsia="zh-CN"/>
        </w:rPr>
        <w:t>。</w:t>
      </w:r>
    </w:p>
    <w:p w14:paraId="784ADC89">
      <w:pPr>
        <w:ind w:firstLine="420" w:firstLineChars="200"/>
        <w:rPr>
          <w:rFonts w:hint="eastAsia" w:ascii="Segoe UI" w:hAnsi="Segoe UI" w:cs="Segoe UI"/>
          <w:color w:val="2A2F45"/>
          <w:szCs w:val="21"/>
          <w:shd w:val="clear" w:color="auto" w:fill="FFFFFF"/>
          <w:lang w:val="en-US" w:eastAsia="zh-CN"/>
        </w:rPr>
      </w:pPr>
    </w:p>
    <w:p w14:paraId="2A1CD0FC">
      <w:pPr>
        <w:ind w:firstLine="420" w:firstLineChars="200"/>
        <w:rPr>
          <w:rFonts w:ascii="Segoe UI" w:hAnsi="Segoe UI" w:cs="Segoe UI"/>
          <w:color w:val="2A2F45"/>
          <w:szCs w:val="21"/>
          <w:shd w:val="clear" w:color="auto" w:fill="FFFFFF"/>
        </w:rPr>
      </w:pPr>
      <w:r>
        <w:rPr>
          <w:rFonts w:hint="default" w:ascii="Segoe UI" w:hAnsi="Segoe UI" w:cs="Segoe UI"/>
          <w:color w:val="2A2F45"/>
          <w:szCs w:val="21"/>
          <w:shd w:val="clear" w:color="auto" w:fill="FFFFFF"/>
          <w:lang w:val="en-US" w:eastAsia="zh-CN"/>
        </w:rPr>
        <w:t>多年来，关于大幅延长寿命的科学研究（以及相关的科幻设想）一直处于相对冷门的科学边缘领域，如今却激发了数百万人的想象力。从限制饮食、生物衰老时钟，到重新利用的药物以及开创性的新范式，这个领域催生了价值数十亿美元的希望与炒作。在这一切令人激动的背后，是一个复杂的生物分子网络，它决定着衰老的速度。虽然我们对这个长寿网络了解相对较少，但却存在一种诱人的可能性，即只需微调几个选定的节点，就可能帮助我们更长寿、更健康地生活。</w:t>
      </w:r>
    </w:p>
    <w:p w14:paraId="791DC1B2">
      <w:pPr>
        <w:ind w:firstLine="420" w:firstLineChars="200"/>
        <w:rPr>
          <w:rFonts w:ascii="Segoe UI" w:hAnsi="Segoe UI" w:cs="Segoe UI"/>
          <w:color w:val="2A2F45"/>
          <w:szCs w:val="21"/>
          <w:shd w:val="clear" w:color="auto" w:fill="FFFFFF"/>
        </w:rPr>
      </w:pPr>
    </w:p>
    <w:p w14:paraId="19125986">
      <w:pPr>
        <w:ind w:firstLine="420" w:firstLineChars="200"/>
        <w:rPr>
          <w:rFonts w:hint="default" w:ascii="Segoe UI" w:hAnsi="Segoe UI" w:cs="Segoe UI"/>
          <w:color w:val="2A2F45"/>
          <w:szCs w:val="21"/>
          <w:shd w:val="clear" w:color="auto" w:fill="FFFFFF"/>
        </w:rPr>
      </w:pPr>
      <w:r>
        <w:rPr>
          <w:rFonts w:hint="default" w:ascii="Segoe UI" w:hAnsi="Segoe UI" w:cs="Segoe UI"/>
          <w:color w:val="2A2F45"/>
          <w:szCs w:val="21"/>
          <w:shd w:val="clear" w:color="auto" w:fill="FFFFFF"/>
          <w:lang w:val="en-US" w:eastAsia="zh-CN"/>
        </w:rPr>
        <w:t>最近的研究聚焦于在所有动物甚至简单的单细胞生物中都能观察到的十二种不同的与年龄相关的变化，这些变化被称为 “衰老的标志”。在许多情况下，对其中一个标志进行调整会在整个衰老网络中引发连锁反应，有时一个单一的基因或一种单一的分子（如雷帕霉素）就能对整个生物衰老过程产生如此深刻而深远的影响。</w:t>
      </w:r>
    </w:p>
    <w:p w14:paraId="314C4657">
      <w:pPr>
        <w:ind w:firstLine="420" w:firstLineChars="200"/>
        <w:rPr>
          <w:rFonts w:ascii="Segoe UI" w:hAnsi="Segoe UI" w:cs="Segoe UI"/>
          <w:color w:val="2A2F45"/>
          <w:szCs w:val="21"/>
          <w:shd w:val="clear" w:color="auto" w:fill="FFFFFF"/>
        </w:rPr>
      </w:pPr>
    </w:p>
    <w:p w14:paraId="53A400FB">
      <w:pPr>
        <w:ind w:firstLine="420" w:firstLineChars="200"/>
        <w:rPr>
          <w:rFonts w:hint="default" w:ascii="Segoe UI" w:hAnsi="Segoe UI" w:cs="Segoe UI"/>
          <w:color w:val="2A2F45"/>
          <w:szCs w:val="21"/>
          <w:shd w:val="clear" w:color="auto" w:fill="FFFFFF"/>
        </w:rPr>
      </w:pPr>
      <w:r>
        <w:rPr>
          <w:rFonts w:hint="default" w:ascii="Segoe UI" w:hAnsi="Segoe UI" w:cs="Segoe UI"/>
          <w:color w:val="2A2F45"/>
          <w:szCs w:val="21"/>
          <w:shd w:val="clear" w:color="auto" w:fill="FFFFFF"/>
          <w:lang w:val="en-US" w:eastAsia="zh-CN"/>
        </w:rPr>
        <w:t>但是，在这片充斥着各种噪音的领域中，我们如何辨别出有前景的抗衰老候选方案，并远离那些骗人的把戏呢？《长寿公式》将关键的科学知识进行了提炼，书中穿插着这些发现背后丰富的个人故事，清晰地讲述了长寿医学的发展方向。</w:t>
      </w:r>
    </w:p>
    <w:p w14:paraId="0F97999D">
      <w:pPr>
        <w:jc w:val="left"/>
        <w:rPr>
          <w:rFonts w:ascii="Segoe UI" w:hAnsi="Segoe UI" w:cs="Segoe UI"/>
          <w:color w:val="000000" w:themeColor="text1"/>
          <w:szCs w:val="21"/>
          <w:shd w:val="clear" w:color="auto" w:fill="FFFFFF"/>
          <w14:textFill>
            <w14:solidFill>
              <w14:schemeClr w14:val="tx1"/>
            </w14:solidFill>
          </w14:textFill>
        </w:rPr>
      </w:pPr>
    </w:p>
    <w:p w14:paraId="2097B528">
      <w:pPr>
        <w:rPr>
          <w:rFonts w:ascii="Segoe UI" w:hAnsi="Segoe UI" w:cs="Segoe UI"/>
          <w:color w:val="2A2F45"/>
          <w:szCs w:val="21"/>
          <w:shd w:val="clear" w:color="auto" w:fill="FFFFFF"/>
        </w:rPr>
      </w:pPr>
    </w:p>
    <w:p w14:paraId="0EBEA899">
      <w:pPr>
        <w:rPr>
          <w:b/>
          <w:bCs/>
          <w:color w:val="000000"/>
          <w:kern w:val="0"/>
          <w:szCs w:val="21"/>
          <w:shd w:val="clear" w:color="auto" w:fill="FFFFFF"/>
        </w:rPr>
      </w:pPr>
      <w:r>
        <w:rPr>
          <w:rFonts w:hint="eastAsia"/>
          <w:b/>
          <w:bCs/>
          <w:color w:val="000000"/>
          <w:kern w:val="0"/>
          <w:szCs w:val="21"/>
          <w:shd w:val="clear" w:color="auto" w:fill="FFFFFF"/>
        </w:rPr>
        <w:t>作者简介：</w:t>
      </w:r>
    </w:p>
    <w:p w14:paraId="2D9869C1">
      <w:pPr>
        <w:rPr>
          <w:b/>
          <w:bCs/>
          <w:color w:val="000000"/>
          <w:kern w:val="0"/>
          <w:szCs w:val="21"/>
          <w:shd w:val="clear" w:color="auto" w:fill="FFFFFF"/>
        </w:rPr>
      </w:pPr>
    </w:p>
    <w:p w14:paraId="396B4D17">
      <w:pPr>
        <w:keepNext w:val="0"/>
        <w:keepLines w:val="0"/>
        <w:widowControl/>
        <w:suppressLineNumbers w:val="0"/>
        <w:ind w:firstLine="422" w:firstLineChars="200"/>
        <w:jc w:val="left"/>
        <w:rPr>
          <w:rFonts w:hint="default" w:ascii="Segoe UI" w:hAnsi="Segoe UI" w:cs="Segoe UI"/>
          <w:color w:val="2A2F45"/>
          <w:szCs w:val="21"/>
          <w:shd w:val="clear" w:color="auto" w:fill="FFFFFF"/>
          <w:lang w:val="en-US" w:eastAsia="zh-CN"/>
        </w:rPr>
      </w:pPr>
      <w:r>
        <w:rPr>
          <w:rFonts w:hint="default"/>
          <w:b/>
          <w:bCs/>
          <w:color w:val="000000"/>
          <w:kern w:val="0"/>
          <w:szCs w:val="21"/>
          <w:shd w:val="clear" w:color="auto" w:fill="FFFFFF"/>
          <w:lang w:val="en-US" w:eastAsia="zh-CN"/>
        </w:rPr>
        <w:t>拉姆库马尔</w:t>
      </w:r>
      <w:r>
        <w:rPr>
          <w:rFonts w:hint="eastAsia"/>
          <w:b/>
          <w:bCs/>
          <w:color w:val="000000"/>
          <w:kern w:val="0"/>
          <w:szCs w:val="21"/>
          <w:shd w:val="clear" w:color="auto" w:fill="FFFFFF"/>
        </w:rPr>
        <w:t>·</w:t>
      </w:r>
      <w:r>
        <w:rPr>
          <w:rFonts w:hint="default"/>
          <w:b/>
          <w:bCs/>
          <w:color w:val="000000"/>
          <w:kern w:val="0"/>
          <w:szCs w:val="21"/>
          <w:shd w:val="clear" w:color="auto" w:fill="FFFFFF"/>
          <w:lang w:val="en-US" w:eastAsia="zh-CN"/>
        </w:rPr>
        <w:t>哈里哈兰博士</w:t>
      </w:r>
      <w:r>
        <w:rPr>
          <w:rFonts w:hint="eastAsia"/>
          <w:b/>
          <w:color w:val="000000"/>
          <w:szCs w:val="21"/>
        </w:rPr>
        <w:t>（</w:t>
      </w:r>
      <w:r>
        <w:rPr>
          <w:b/>
          <w:color w:val="000000"/>
          <w:szCs w:val="21"/>
          <w:lang w:val="en-US" w:eastAsia="zh-CN"/>
        </w:rPr>
        <w:t>Dr. Ramkumar Hariharan</w:t>
      </w:r>
      <w:r>
        <w:rPr>
          <w:rFonts w:hint="eastAsia"/>
          <w:b/>
          <w:bCs/>
          <w:color w:val="000000"/>
          <w:kern w:val="0"/>
          <w:szCs w:val="21"/>
          <w:shd w:val="clear" w:color="auto" w:fill="FFFFFF"/>
        </w:rPr>
        <w:t>）</w:t>
      </w:r>
      <w:r>
        <w:rPr>
          <w:rFonts w:hint="default" w:ascii="Segoe UI" w:hAnsi="Segoe UI" w:cs="Segoe UI"/>
          <w:color w:val="2A2F45"/>
          <w:szCs w:val="21"/>
          <w:shd w:val="clear" w:color="auto" w:fill="FFFFFF"/>
          <w:lang w:val="en-US" w:eastAsia="zh-CN"/>
        </w:rPr>
        <w:t>是东北大学工程学院和数据科学学院的项目主任，专注于人工智能与人类衰老相结合的项目。他曾在受比尔及梅琳达・盖茨基金会资助的科技公司 MACRO - EYES 领导应用人工智能工作。作为一名获奖学者，他还与日本理化学研究所和牛津大学等机构合作过。</w:t>
      </w:r>
    </w:p>
    <w:p w14:paraId="7627C06D">
      <w:pPr>
        <w:keepNext w:val="0"/>
        <w:keepLines w:val="0"/>
        <w:widowControl/>
        <w:suppressLineNumbers w:val="0"/>
        <w:ind w:firstLine="420" w:firstLineChars="200"/>
        <w:jc w:val="left"/>
        <w:rPr>
          <w:rFonts w:hint="default" w:ascii="Segoe UI" w:hAnsi="Segoe UI" w:cs="Segoe UI"/>
          <w:color w:val="2A2F45"/>
          <w:szCs w:val="21"/>
          <w:shd w:val="clear" w:color="auto" w:fill="FFFFFF"/>
          <w:lang w:val="en-US" w:eastAsia="zh-CN"/>
        </w:rPr>
      </w:pPr>
    </w:p>
    <w:p w14:paraId="00024BC0">
      <w:pPr>
        <w:keepNext w:val="0"/>
        <w:keepLines w:val="0"/>
        <w:widowControl/>
        <w:suppressLineNumbers w:val="0"/>
        <w:ind w:firstLine="422" w:firstLineChars="200"/>
        <w:jc w:val="left"/>
        <w:rPr>
          <w:rFonts w:hint="default" w:ascii="Segoe UI" w:hAnsi="Segoe UI" w:cs="Segoe UI"/>
          <w:color w:val="2A2F45"/>
          <w:szCs w:val="21"/>
          <w:shd w:val="clear" w:color="auto" w:fill="FFFFFF"/>
          <w:lang w:val="en-US" w:eastAsia="zh-CN"/>
        </w:rPr>
      </w:pPr>
      <w:r>
        <w:rPr>
          <w:rFonts w:hint="default" w:ascii="Segoe UI" w:hAnsi="Segoe UI" w:cs="Segoe UI"/>
          <w:b/>
          <w:bCs/>
          <w:color w:val="2A2F45"/>
          <w:szCs w:val="21"/>
          <w:shd w:val="clear" w:color="auto" w:fill="FFFFFF"/>
          <w:lang w:val="en-US" w:eastAsia="zh-CN"/>
        </w:rPr>
        <w:t>马特</w:t>
      </w:r>
      <w:r>
        <w:rPr>
          <w:rFonts w:hint="eastAsia"/>
          <w:b/>
          <w:bCs/>
          <w:color w:val="000000"/>
          <w:kern w:val="0"/>
          <w:szCs w:val="21"/>
          <w:shd w:val="clear" w:color="auto" w:fill="FFFFFF"/>
        </w:rPr>
        <w:t>·</w:t>
      </w:r>
      <w:r>
        <w:rPr>
          <w:rFonts w:hint="eastAsia"/>
          <w:b/>
          <w:bCs/>
          <w:color w:val="000000"/>
          <w:kern w:val="0"/>
          <w:szCs w:val="21"/>
          <w:shd w:val="clear" w:color="auto" w:fill="FFFFFF"/>
          <w:lang w:val="en-US" w:eastAsia="zh-CN"/>
        </w:rPr>
        <w:t xml:space="preserve"> </w:t>
      </w:r>
      <w:r>
        <w:rPr>
          <w:rFonts w:hint="default" w:ascii="Segoe UI" w:hAnsi="Segoe UI" w:cs="Segoe UI"/>
          <w:b/>
          <w:bCs/>
          <w:color w:val="2A2F45"/>
          <w:szCs w:val="21"/>
          <w:shd w:val="clear" w:color="auto" w:fill="FFFFFF"/>
          <w:lang w:val="en-US" w:eastAsia="zh-CN"/>
        </w:rPr>
        <w:t>凯伯莱因博士</w:t>
      </w:r>
      <w:r>
        <w:rPr>
          <w:rFonts w:hint="eastAsia"/>
          <w:b/>
          <w:color w:val="000000"/>
          <w:szCs w:val="21"/>
        </w:rPr>
        <w:t>（</w:t>
      </w:r>
      <w:r>
        <w:rPr>
          <w:b/>
          <w:color w:val="000000"/>
          <w:szCs w:val="21"/>
          <w:lang w:val="en-US" w:eastAsia="zh-CN"/>
        </w:rPr>
        <w:t>Dr. Matt Kaeberlein</w:t>
      </w:r>
      <w:r>
        <w:rPr>
          <w:rFonts w:hint="eastAsia"/>
          <w:b/>
          <w:bCs/>
          <w:color w:val="000000"/>
          <w:kern w:val="0"/>
          <w:szCs w:val="21"/>
          <w:shd w:val="clear" w:color="auto" w:fill="FFFFFF"/>
        </w:rPr>
        <w:t>）</w:t>
      </w:r>
      <w:r>
        <w:rPr>
          <w:rFonts w:hint="default" w:ascii="Segoe UI" w:hAnsi="Segoe UI" w:cs="Segoe UI"/>
          <w:color w:val="2A2F45"/>
          <w:szCs w:val="21"/>
          <w:shd w:val="clear" w:color="auto" w:fill="FFFFFF"/>
          <w:lang w:val="en-US" w:eastAsia="zh-CN"/>
        </w:rPr>
        <w:t xml:space="preserve">是长寿科学领域杰出的获奖人物，担任 </w:t>
      </w:r>
      <w:r>
        <w:rPr>
          <w:rFonts w:hint="default" w:ascii="Times New Roman" w:hAnsi="Times New Roman" w:cs="Times New Roman"/>
          <w:color w:val="2A2F45"/>
          <w:szCs w:val="21"/>
          <w:shd w:val="clear" w:color="auto" w:fill="FFFFFF"/>
          <w:lang w:val="en-US" w:eastAsia="zh-CN"/>
        </w:rPr>
        <w:t>Optispan 公司的首席执行官、华盛顿大学的兼职教授以及狗狗衰老项目的联合主任。他创立了华盛顿大学健康老龄化与长寿研究所，并曾在国立卫生研究院（NIH</w:t>
      </w:r>
      <w:r>
        <w:rPr>
          <w:rFonts w:hint="default" w:ascii="Segoe UI" w:hAnsi="Segoe UI" w:cs="Segoe UI"/>
          <w:color w:val="2A2F45"/>
          <w:szCs w:val="21"/>
          <w:shd w:val="clear" w:color="auto" w:fill="FFFFFF"/>
          <w:lang w:val="en-US" w:eastAsia="zh-CN"/>
        </w:rPr>
        <w:t>）和美国衰老协会担任领导职务。</w:t>
      </w:r>
    </w:p>
    <w:p w14:paraId="3AC76E9E">
      <w:pPr>
        <w:rPr>
          <w:b/>
          <w:bCs/>
          <w:color w:val="000000"/>
          <w:kern w:val="0"/>
          <w:szCs w:val="21"/>
          <w:shd w:val="clear" w:color="auto" w:fill="FFFFFF"/>
        </w:rPr>
      </w:pPr>
    </w:p>
    <w:p w14:paraId="2A108266">
      <w:pPr>
        <w:rPr>
          <w:b/>
          <w:bCs/>
          <w:color w:val="000000"/>
          <w:kern w:val="0"/>
          <w:szCs w:val="21"/>
          <w:shd w:val="clear" w:color="auto" w:fill="FFFFFF"/>
        </w:rPr>
      </w:pPr>
    </w:p>
    <w:p w14:paraId="25CEFA1E">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34A9813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3BDF330">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A55262C">
      <w:pPr>
        <w:rPr>
          <w:b/>
          <w:color w:val="000000"/>
          <w:szCs w:val="21"/>
        </w:rPr>
      </w:pPr>
      <w:r>
        <w:rPr>
          <w:color w:val="000000"/>
          <w:szCs w:val="21"/>
        </w:rPr>
        <w:t>安德鲁·纳伯格联合国际有限公司北京代表处</w:t>
      </w:r>
    </w:p>
    <w:p w14:paraId="615F5524">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622AAEF">
      <w:pPr>
        <w:rPr>
          <w:b/>
          <w:color w:val="000000"/>
          <w:szCs w:val="21"/>
        </w:rPr>
      </w:pPr>
      <w:r>
        <w:rPr>
          <w:color w:val="000000"/>
          <w:szCs w:val="21"/>
        </w:rPr>
        <w:t>电话：010-82504106, 传真：010-82504200</w:t>
      </w:r>
    </w:p>
    <w:p w14:paraId="5895E248">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0E6CA678">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C8C146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A66933E">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7D5F5A8">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06CC080">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729A332">
      <w:pPr>
        <w:shd w:val="clear" w:color="auto" w:fill="FFFFFF"/>
        <w:rPr>
          <w:b/>
          <w:color w:val="000000"/>
        </w:rPr>
      </w:pPr>
      <w:r>
        <w:rPr>
          <w:color w:val="000000"/>
          <w:szCs w:val="21"/>
        </w:rPr>
        <w:t>微信订阅号：ANABJ2002</w:t>
      </w:r>
    </w:p>
    <w:bookmarkEnd w:id="0"/>
    <w:bookmarkEnd w:id="1"/>
    <w:p w14:paraId="6E0115F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D2CA8F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S PGothic">
    <w:panose1 w:val="020B0600070205080204"/>
    <w:charset w:val="80"/>
    <w:family w:val="auto"/>
    <w:pitch w:val="default"/>
    <w:sig w:usb0="E00002FF" w:usb1="6AC7FDFB" w:usb2="08000012" w:usb3="00000000" w:csb0="4002009F" w:csb1="DFD7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293D5">
    <w:pPr>
      <w:pBdr>
        <w:bottom w:val="single" w:color="auto" w:sz="6" w:space="1"/>
      </w:pBdr>
      <w:jc w:val="center"/>
      <w:rPr>
        <w:rFonts w:ascii="方正姚体" w:eastAsia="方正姚体"/>
        <w:sz w:val="18"/>
      </w:rPr>
    </w:pPr>
  </w:p>
  <w:p w14:paraId="7213FE4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96D26F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292AA98">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B066327">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0CC5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70A392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4B21E8E"/>
    <w:rsid w:val="055F1B46"/>
    <w:rsid w:val="065742DF"/>
    <w:rsid w:val="0806583D"/>
    <w:rsid w:val="091A3CEE"/>
    <w:rsid w:val="0AA822B2"/>
    <w:rsid w:val="0AF33AE7"/>
    <w:rsid w:val="0C1B0437"/>
    <w:rsid w:val="1264528F"/>
    <w:rsid w:val="12D17378"/>
    <w:rsid w:val="12D81E34"/>
    <w:rsid w:val="13B55DD4"/>
    <w:rsid w:val="14117386"/>
    <w:rsid w:val="143F2545"/>
    <w:rsid w:val="14410444"/>
    <w:rsid w:val="14C12F5A"/>
    <w:rsid w:val="15BC3411"/>
    <w:rsid w:val="162057B7"/>
    <w:rsid w:val="17594F22"/>
    <w:rsid w:val="17EB450E"/>
    <w:rsid w:val="194C3497"/>
    <w:rsid w:val="21DC5EE4"/>
    <w:rsid w:val="224C6733"/>
    <w:rsid w:val="22720320"/>
    <w:rsid w:val="2281582F"/>
    <w:rsid w:val="256B5BB0"/>
    <w:rsid w:val="273146EB"/>
    <w:rsid w:val="27321C92"/>
    <w:rsid w:val="286A24EC"/>
    <w:rsid w:val="287303E4"/>
    <w:rsid w:val="28FD455E"/>
    <w:rsid w:val="291C72C0"/>
    <w:rsid w:val="294F1F48"/>
    <w:rsid w:val="2C5142E1"/>
    <w:rsid w:val="2FBB5323"/>
    <w:rsid w:val="30DC13F0"/>
    <w:rsid w:val="32DE787A"/>
    <w:rsid w:val="362D6CBA"/>
    <w:rsid w:val="368055A2"/>
    <w:rsid w:val="36B36BBA"/>
    <w:rsid w:val="36B97AE5"/>
    <w:rsid w:val="37845DE0"/>
    <w:rsid w:val="38D64782"/>
    <w:rsid w:val="38EA0260"/>
    <w:rsid w:val="3A133C1C"/>
    <w:rsid w:val="3C563F4C"/>
    <w:rsid w:val="3C70398D"/>
    <w:rsid w:val="3DAC00D1"/>
    <w:rsid w:val="3E09134A"/>
    <w:rsid w:val="3F283A52"/>
    <w:rsid w:val="3F486E36"/>
    <w:rsid w:val="44EF6A15"/>
    <w:rsid w:val="45083B8C"/>
    <w:rsid w:val="4603463C"/>
    <w:rsid w:val="468C3169"/>
    <w:rsid w:val="494B7BFF"/>
    <w:rsid w:val="4A392FB7"/>
    <w:rsid w:val="4E87411E"/>
    <w:rsid w:val="4E9F4AB7"/>
    <w:rsid w:val="511F73E1"/>
    <w:rsid w:val="52C442F7"/>
    <w:rsid w:val="53904970"/>
    <w:rsid w:val="53F32DF7"/>
    <w:rsid w:val="564055B9"/>
    <w:rsid w:val="59296817"/>
    <w:rsid w:val="59F00E16"/>
    <w:rsid w:val="5A1E61D2"/>
    <w:rsid w:val="5E0C3542"/>
    <w:rsid w:val="5E572DEB"/>
    <w:rsid w:val="5E8E14C4"/>
    <w:rsid w:val="60197BB5"/>
    <w:rsid w:val="605753D1"/>
    <w:rsid w:val="621F6849"/>
    <w:rsid w:val="6240283F"/>
    <w:rsid w:val="64991013"/>
    <w:rsid w:val="661D5426"/>
    <w:rsid w:val="674455A4"/>
    <w:rsid w:val="68202442"/>
    <w:rsid w:val="6BDA07AF"/>
    <w:rsid w:val="6CB165AA"/>
    <w:rsid w:val="6E9A5873"/>
    <w:rsid w:val="6ED92D27"/>
    <w:rsid w:val="6FC51851"/>
    <w:rsid w:val="714C3AC4"/>
    <w:rsid w:val="724427AD"/>
    <w:rsid w:val="72682163"/>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774</Words>
  <Characters>1231</Characters>
  <Lines>12</Lines>
  <Paragraphs>3</Paragraphs>
  <TotalTime>11</TotalTime>
  <ScaleCrop>false</ScaleCrop>
  <LinksUpToDate>false</LinksUpToDate>
  <CharactersWithSpaces>1285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2025-03-24T10:50:53Z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25A27B1438A440A3B7714B4B9E6AAE39_13</vt:lpwstr>
  </property>
  <property fmtid="{D5CDD505-2E9C-101B-9397-08002B2CF9AE}" pid="4" name="KSOTemplateDocerSaveRecord">
    <vt:lpwstr>eyJoZGlkIjoiZDI4NjExZTU3YmEyYjAzN2I3MjhmN2Y2YTRlMDNiZTQiLCJ1c2VySWQiOiI5Nzc5ODEzNjkifQ==</vt:lpwstr>
  </property>
</Properties>
</file>