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4039235</wp:posOffset>
            </wp:positionH>
            <wp:positionV relativeFrom="paragraph">
              <wp:posOffset>198120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rFonts w:hint="eastAsia"/>
          <w:b/>
          <w:bCs w:val="0"/>
          <w:color w:val="000000"/>
          <w:szCs w:val="21"/>
        </w:rPr>
        <w:t>维米尔：失而复得的人生</w:t>
      </w:r>
      <w:r>
        <w:rPr>
          <w:rFonts w:hint="eastAsia"/>
          <w:b/>
          <w:color w:val="000000"/>
          <w:szCs w:val="21"/>
        </w:rPr>
        <w:t>》</w:t>
      </w:r>
    </w:p>
    <w:p w14:paraId="0B3E8EEE">
      <w:pPr>
        <w:pStyle w:val="38"/>
        <w:rPr>
          <w:b/>
          <w:sz w:val="21"/>
          <w:szCs w:val="21"/>
        </w:rPr>
      </w:pPr>
      <w:r>
        <w:rPr>
          <w:rFonts w:ascii="Times New Roman" w:hAnsi="Times New Roman" w:eastAsia="宋体" w:cs="Times New Roman"/>
          <w:b/>
          <w:color w:val="000000"/>
          <w:kern w:val="2"/>
          <w:sz w:val="21"/>
          <w:szCs w:val="21"/>
          <w:lang w:val="en-US" w:eastAsia="zh-CN" w:bidi="ar-SA"/>
        </w:rPr>
        <w:t>英文书名</w:t>
      </w:r>
      <w:r>
        <w:rPr>
          <w:b/>
          <w:szCs w:val="21"/>
        </w:rPr>
        <w:t>：</w:t>
      </w:r>
      <w:r>
        <w:rPr>
          <w:rFonts w:hint="eastAsia" w:ascii="Times New Roman" w:hAnsi="Times New Roman" w:cs="Times New Roman"/>
          <w:b/>
          <w:bCs w:val="0"/>
          <w:kern w:val="2"/>
          <w:sz w:val="21"/>
          <w:szCs w:val="21"/>
        </w:rPr>
        <w:t>Vermeer：A Life Lost and Found</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bCs w:val="0"/>
          <w:color w:val="000000"/>
          <w:kern w:val="2"/>
          <w:sz w:val="21"/>
          <w:szCs w:val="21"/>
          <w:lang w:val="en-US" w:eastAsia="zh-CN" w:bidi="ar-SA"/>
        </w:rPr>
        <w:t>Andrew Graham Dixon</w:t>
      </w:r>
    </w:p>
    <w:p w14:paraId="1E0E5E8B">
      <w:pPr>
        <w:rPr>
          <w:rFonts w:hint="default" w:eastAsia="宋体"/>
          <w:b/>
          <w:color w:val="000000"/>
          <w:szCs w:val="21"/>
          <w:lang w:val="en-US" w:eastAsia="zh-CN"/>
        </w:rPr>
      </w:pPr>
      <w:r>
        <w:rPr>
          <w:b/>
          <w:color w:val="000000"/>
          <w:szCs w:val="21"/>
        </w:rPr>
        <w:t xml:space="preserve">出 版 社：Penguin/ Penguin </w:t>
      </w:r>
      <w:r>
        <w:rPr>
          <w:rFonts w:hint="eastAsia"/>
          <w:b/>
          <w:color w:val="000000"/>
          <w:szCs w:val="21"/>
          <w:lang w:val="en-US" w:eastAsia="zh-CN"/>
        </w:rPr>
        <w:t>Press</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496页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10</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b/>
          <w:color w:val="000000"/>
          <w:szCs w:val="21"/>
        </w:rPr>
      </w:pPr>
      <w:r>
        <w:rPr>
          <w:b/>
          <w:color w:val="000000"/>
          <w:szCs w:val="21"/>
        </w:rPr>
        <w:t>审读资料：</w:t>
      </w:r>
      <w:r>
        <w:rPr>
          <w:rFonts w:hint="eastAsia"/>
          <w:b/>
          <w:color w:val="000000"/>
          <w:szCs w:val="21"/>
        </w:rPr>
        <w:t>暂无（可先登记兴趣）</w:t>
      </w:r>
    </w:p>
    <w:p w14:paraId="56CBF7DD">
      <w:pPr>
        <w:rPr>
          <w:rFonts w:hint="eastAsia"/>
          <w:b/>
          <w:color w:val="000000"/>
          <w:szCs w:val="21"/>
        </w:rPr>
      </w:pPr>
      <w:r>
        <w:rPr>
          <w:b/>
          <w:color w:val="000000"/>
          <w:szCs w:val="21"/>
        </w:rPr>
        <w:t>类    型：</w:t>
      </w:r>
      <w:r>
        <w:rPr>
          <w:rFonts w:hint="eastAsia"/>
          <w:b/>
          <w:color w:val="000000"/>
          <w:szCs w:val="21"/>
        </w:rPr>
        <w:t>传记/回忆录</w:t>
      </w:r>
    </w:p>
    <w:p w14:paraId="0FEA656B">
      <w:pPr>
        <w:rPr>
          <w:b/>
          <w:bCs/>
          <w:color w:val="000000"/>
          <w:szCs w:val="21"/>
        </w:rPr>
      </w:pPr>
    </w:p>
    <w:p w14:paraId="46BEA837">
      <w:pPr>
        <w:rPr>
          <w:b/>
          <w:bCs/>
          <w:color w:val="000000"/>
          <w:szCs w:val="21"/>
        </w:rPr>
      </w:pPr>
    </w:p>
    <w:p w14:paraId="0F3367AD">
      <w:pPr>
        <w:rPr>
          <w:b/>
          <w:bCs/>
          <w:color w:val="000000"/>
          <w:szCs w:val="21"/>
        </w:rPr>
      </w:pPr>
      <w:r>
        <w:rPr>
          <w:b/>
          <w:bCs/>
          <w:color w:val="000000"/>
          <w:szCs w:val="21"/>
        </w:rPr>
        <w:t>内容简介：</w:t>
      </w:r>
    </w:p>
    <w:p w14:paraId="3D14FB57">
      <w:pPr>
        <w:jc w:val="left"/>
        <w:rPr>
          <w:rFonts w:ascii="Segoe UI" w:hAnsi="Segoe UI" w:cs="Segoe UI"/>
          <w:color w:val="2A2F45"/>
          <w:szCs w:val="21"/>
        </w:rPr>
      </w:pPr>
    </w:p>
    <w:p w14:paraId="593BE631">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这是一部具有启发性的关于这位神秘荷兰艺术家的全新传记，在他逝世 350 周年之际出版发行。</w:t>
      </w:r>
    </w:p>
    <w:p w14:paraId="28168DC4">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3DCD0F1D">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维米尔的画作堪称艺术史上最为精美的作品之列。然而，就如同这位画家本人的生平一样，他的画作充满神秘色彩，数百年来一直令人难以参透。安德鲁・格雷厄姆・迪克森循着新的线索，依据大量的历史证据（其中一些是最近在代尔夫特和鹿特丹的档案中发掘出来的），描绘出了一幅截然不同的维米尔新形象，揭示了这位画家许多此前不为人知的友谊，以及他之前未被察觉的对一个因遭受迫害而转入地下的激进运动的忠诚。</w:t>
      </w:r>
    </w:p>
    <w:p w14:paraId="3E058045">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53A2CA3C">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他生动地描绘了荷兰共和国的黄金时代，那是一个有着运河、堡垒和热闹酒馆的世界，高效的交通系统将它们连接在一起。通过将维米尔置于这个时代的背景中，作者突出了那些影响他作品的资助模式，以及他家庭生活中所面临的挑战，他的家庭生活深受身为耶稣会会士的岳母及其问题多多的儿子的影响。</w:t>
      </w:r>
    </w:p>
    <w:p w14:paraId="403205CB">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42F23F4E">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与过去将维米尔描绘成离群索居的形象不同，这部传记将他展现为一个积极参与社交的人。他游历广泛、学识渊博，并且与当时的一些知名人物，包括商人和哲学家都有往来。八十年战争和毁灭性的三十年战争对他产生了深远的影响，这些战争塑造了他的和平主义信仰，并促使他在欧洲早期的和平运动中结交了不少朋友。</w:t>
      </w:r>
    </w:p>
    <w:p w14:paraId="3EB115E7">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1D751EFA">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值得注意的是，他最亲密的合作伙伴和主要资助人是一位女性，而且在他的社交圈子里还有许多其他女性</w:t>
      </w:r>
      <w:r>
        <w:rPr>
          <w:rFonts w:hint="eastAsia" w:ascii="Times New Roman" w:hAnsi="Times New Roman" w:cs="Times New Roman"/>
          <w:color w:val="2A2F45"/>
          <w:szCs w:val="21"/>
          <w:shd w:val="clear" w:color="auto" w:fill="FFFFFF"/>
          <w:lang w:val="en-US" w:eastAsia="zh-CN"/>
        </w:rPr>
        <w:t>朋友</w:t>
      </w:r>
      <w:r>
        <w:rPr>
          <w:rFonts w:hint="default" w:ascii="Times New Roman" w:hAnsi="Times New Roman" w:cs="Times New Roman"/>
          <w:color w:val="2A2F45"/>
          <w:szCs w:val="21"/>
          <w:shd w:val="clear" w:color="auto" w:fill="FFFFFF"/>
          <w:lang w:val="en-US" w:eastAsia="zh-CN"/>
        </w:rPr>
        <w:t>（是他的合作伙伴或资助人等）</w:t>
      </w:r>
      <w:r>
        <w:rPr>
          <w:rFonts w:hint="default" w:ascii="Times New Roman" w:hAnsi="Times New Roman" w:cs="Times New Roman"/>
          <w:color w:val="2A2F45"/>
          <w:szCs w:val="21"/>
          <w:shd w:val="clear" w:color="auto" w:fill="FFFFFF"/>
          <w:lang w:val="en-US" w:eastAsia="zh-CN"/>
        </w:rPr>
        <w:t>。</w:t>
      </w:r>
      <w:bookmarkStart w:id="2" w:name="_GoBack"/>
      <w:bookmarkEnd w:id="2"/>
    </w:p>
    <w:p w14:paraId="42553582">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17B368D6">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书中对维米尔画作的诸多深刻而直接的描述是这本书的核心内容，为理解这位艺术家的创作意图提供了新的视角。据揭示，几乎他所有最受喜爱的作品最初都是为代尔夫特的一个重要场所而创作的。鉴于这些新发现，维米尔的每一幅重要画作，包括《戴珍珠耳环的少女》《代尔夫特风景》和《倒牛奶的女佣人》，都得到了重新评估，其含义也得到了全面的修正。因此，关于维米尔的两个长期悬而未决的重大问题：他为什么创作这些画作，以及这些画作的意义何在？在本书中首次得到了令人信服的解答。</w:t>
      </w:r>
    </w:p>
    <w:p w14:paraId="127F2E24">
      <w:pPr>
        <w:jc w:val="left"/>
        <w:rPr>
          <w:rFonts w:hint="default" w:ascii="Times New Roman" w:hAnsi="Times New Roman" w:cs="Times New Roman"/>
          <w:color w:val="000000" w:themeColor="text1"/>
          <w:szCs w:val="21"/>
          <w:shd w:val="clear" w:color="auto" w:fill="FFFFFF"/>
          <w14:textFill>
            <w14:solidFill>
              <w14:schemeClr w14:val="tx1"/>
            </w14:solidFill>
          </w14:textFill>
        </w:rPr>
      </w:pPr>
    </w:p>
    <w:p w14:paraId="4062E8E5">
      <w:pPr>
        <w:rPr>
          <w:rFonts w:ascii="Segoe UI" w:hAnsi="Segoe UI" w:cs="Segoe UI"/>
          <w:color w:val="2A2F45"/>
          <w:szCs w:val="21"/>
          <w:shd w:val="clear" w:color="auto" w:fill="FFFFFF"/>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41D77D0D">
      <w:pPr>
        <w:keepNext w:val="0"/>
        <w:keepLines w:val="0"/>
        <w:widowControl/>
        <w:suppressLineNumbers w:val="0"/>
        <w:ind w:firstLine="422" w:firstLineChars="200"/>
        <w:jc w:val="left"/>
        <w:rPr>
          <w:rFonts w:hint="default" w:ascii="Segoe UI" w:hAnsi="Segoe UI" w:cs="Segoe UI"/>
          <w:color w:val="2A2F45"/>
          <w:szCs w:val="21"/>
          <w:shd w:val="clear" w:color="auto" w:fill="FFFFFF"/>
          <w:lang w:val="en-US" w:eastAsia="zh-CN"/>
        </w:rPr>
      </w:pPr>
      <w:r>
        <w:rPr>
          <w:rFonts w:hint="default" w:ascii="Segoe UI" w:hAnsi="Segoe UI" w:cs="Segoe UI"/>
          <w:b/>
          <w:bCs/>
          <w:color w:val="2A2F45"/>
          <w:szCs w:val="21"/>
          <w:shd w:val="clear" w:color="auto" w:fill="FFFFFF"/>
          <w:lang w:val="en-US" w:eastAsia="zh-CN"/>
        </w:rPr>
        <w:t>安德鲁</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格雷厄姆</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迪克森</w:t>
      </w:r>
      <w:r>
        <w:rPr>
          <w:rFonts w:hint="eastAsia"/>
          <w:b/>
          <w:bCs/>
          <w:color w:val="000000"/>
          <w:kern w:val="0"/>
          <w:szCs w:val="21"/>
          <w:shd w:val="clear" w:color="auto" w:fill="FFFFFF"/>
        </w:rPr>
        <w:t>（</w:t>
      </w:r>
      <w:r>
        <w:rPr>
          <w:rFonts w:hint="eastAsia" w:ascii="Times New Roman" w:hAnsi="Times New Roman" w:eastAsia="宋体" w:cs="Times New Roman"/>
          <w:b/>
          <w:bCs w:val="0"/>
          <w:color w:val="000000"/>
          <w:kern w:val="2"/>
          <w:sz w:val="21"/>
          <w:szCs w:val="21"/>
          <w:lang w:val="en-US" w:eastAsia="zh-CN" w:bidi="ar-SA"/>
        </w:rPr>
        <w:t>Andrew Graham Dixon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是一位艺术史学家、传记作家兼节目主持人，他为英国广播公</w:t>
      </w:r>
      <w:r>
        <w:rPr>
          <w:rFonts w:hint="default" w:ascii="Times New Roman" w:hAnsi="Times New Roman" w:cs="Times New Roman"/>
          <w:color w:val="2A2F45"/>
          <w:szCs w:val="21"/>
          <w:shd w:val="clear" w:color="auto" w:fill="FFFFFF"/>
          <w:lang w:val="en-US" w:eastAsia="zh-CN"/>
        </w:rPr>
        <w:t>司（BBC）制作的有关艺术的电视系列节目比其他任何主持人都要多。多年来，他一直担任《星期日电讯报》和《独立报》的主要艺术评论家。关于他所著的卡拉瓦乔传记，彼得・凯里评价道：“这</w:t>
      </w:r>
      <w:r>
        <w:rPr>
          <w:rFonts w:hint="default" w:ascii="Segoe UI" w:hAnsi="Segoe UI" w:cs="Segoe UI"/>
          <w:color w:val="2A2F45"/>
          <w:szCs w:val="21"/>
          <w:shd w:val="clear" w:color="auto" w:fill="FFFFFF"/>
          <w:lang w:val="en-US" w:eastAsia="zh-CN"/>
        </w:rPr>
        <w:t>是一堂关于鉴赏艺术的精彩课程”，尼尔・麦格雷戈则写道：“这位艺术家及其作品在书中展现得更加丰富且富有启迪性”。该传记已被翻译成八种语言出版。</w:t>
      </w:r>
    </w:p>
    <w:p w14:paraId="5CB15588">
      <w:pPr>
        <w:rPr>
          <w:b/>
          <w:bCs/>
          <w:color w:val="000000"/>
          <w:kern w:val="0"/>
          <w:szCs w:val="21"/>
          <w:shd w:val="clear" w:color="auto" w:fill="FFFFFF"/>
        </w:rPr>
      </w:pP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806583D"/>
    <w:rsid w:val="091A3CEE"/>
    <w:rsid w:val="0AA822B2"/>
    <w:rsid w:val="0AF33AE7"/>
    <w:rsid w:val="0C1B0437"/>
    <w:rsid w:val="1264528F"/>
    <w:rsid w:val="12D17378"/>
    <w:rsid w:val="12D81E34"/>
    <w:rsid w:val="13B55DD4"/>
    <w:rsid w:val="14117386"/>
    <w:rsid w:val="143F2545"/>
    <w:rsid w:val="14410444"/>
    <w:rsid w:val="14C12F5A"/>
    <w:rsid w:val="15BC3411"/>
    <w:rsid w:val="162057B7"/>
    <w:rsid w:val="1727128A"/>
    <w:rsid w:val="17594F22"/>
    <w:rsid w:val="17EB450E"/>
    <w:rsid w:val="194C3497"/>
    <w:rsid w:val="1CC10E68"/>
    <w:rsid w:val="21DC5EE4"/>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DE2B62"/>
    <w:rsid w:val="38EA0260"/>
    <w:rsid w:val="3A133C1C"/>
    <w:rsid w:val="3C563F4C"/>
    <w:rsid w:val="3C70398D"/>
    <w:rsid w:val="3DAC00D1"/>
    <w:rsid w:val="3E09134A"/>
    <w:rsid w:val="3E437248"/>
    <w:rsid w:val="3F283A52"/>
    <w:rsid w:val="3F486E36"/>
    <w:rsid w:val="44EF6A15"/>
    <w:rsid w:val="45083B8C"/>
    <w:rsid w:val="4603463C"/>
    <w:rsid w:val="468C3169"/>
    <w:rsid w:val="494B7BFF"/>
    <w:rsid w:val="4A392FB7"/>
    <w:rsid w:val="4E87411E"/>
    <w:rsid w:val="4E9F4AB7"/>
    <w:rsid w:val="4EB70617"/>
    <w:rsid w:val="511F73E1"/>
    <w:rsid w:val="52C442F7"/>
    <w:rsid w:val="53904970"/>
    <w:rsid w:val="53F32DF7"/>
    <w:rsid w:val="541D74A6"/>
    <w:rsid w:val="564055B9"/>
    <w:rsid w:val="59296817"/>
    <w:rsid w:val="59F00E16"/>
    <w:rsid w:val="5A1E61D2"/>
    <w:rsid w:val="5A4440A8"/>
    <w:rsid w:val="5E0C3542"/>
    <w:rsid w:val="5E3E466E"/>
    <w:rsid w:val="5E572DEB"/>
    <w:rsid w:val="5E8E14C4"/>
    <w:rsid w:val="60197BB5"/>
    <w:rsid w:val="605753D1"/>
    <w:rsid w:val="621F6849"/>
    <w:rsid w:val="64991013"/>
    <w:rsid w:val="661D5426"/>
    <w:rsid w:val="66947A08"/>
    <w:rsid w:val="674455A4"/>
    <w:rsid w:val="68202442"/>
    <w:rsid w:val="6BDA07AF"/>
    <w:rsid w:val="6CB165AA"/>
    <w:rsid w:val="6D5A261F"/>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1230</Words>
  <Characters>1571</Characters>
  <Lines>12</Lines>
  <Paragraphs>3</Paragraphs>
  <TotalTime>10</TotalTime>
  <ScaleCrop>false</ScaleCrop>
  <LinksUpToDate>false</LinksUpToDate>
  <CharactersWithSpaces>1603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2025-03-26T04:30:52Z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17BD78A6B666482C83280AA219066B6D_13</vt:lpwstr>
  </property>
  <property fmtid="{D5CDD505-2E9C-101B-9397-08002B2CF9AE}" pid="4" name="KSOTemplateDocerSaveRecord">
    <vt:lpwstr>eyJoZGlkIjoiYWQ0N2FjMDhlYmY2MWVlODk2ZTk5OGU5MDRjYjQyYmEiLCJ1c2VySWQiOiI5Nzc5ODEzNjkifQ==</vt:lpwstr>
  </property>
</Properties>
</file>