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3A2EBC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211B19F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</w:p>
    <w:p w14:paraId="59EB8C59">
      <w:pPr>
        <w:rPr>
          <w:rFonts w:hint="eastAsia"/>
          <w:b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4128135</wp:posOffset>
            </wp:positionH>
            <wp:positionV relativeFrom="paragraph">
              <wp:posOffset>198120</wp:posOffset>
            </wp:positionV>
            <wp:extent cx="1204595" cy="1724660"/>
            <wp:effectExtent l="0" t="0" r="5080" b="889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172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6B1345F">
      <w:pPr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  <w:lang w:val="en-US" w:eastAsia="zh-CN"/>
        </w:rPr>
        <w:t>碧海深处</w:t>
      </w:r>
      <w:r>
        <w:rPr>
          <w:rFonts w:hint="eastAsia"/>
          <w:b/>
          <w:color w:val="000000"/>
          <w:szCs w:val="21"/>
        </w:rPr>
        <w:t>》</w:t>
      </w:r>
    </w:p>
    <w:p w14:paraId="6F167C27">
      <w:pPr>
        <w:keepNext w:val="0"/>
        <w:keepLines w:val="0"/>
        <w:widowControl/>
        <w:suppressLineNumbers w:val="0"/>
        <w:jc w:val="left"/>
        <w:rPr>
          <w:rFonts w:hint="default" w:eastAsia="宋体"/>
          <w:b/>
          <w:i/>
          <w:iCs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英文书名：</w:t>
      </w:r>
      <w:r>
        <w:rPr>
          <w:rFonts w:hint="eastAsia"/>
          <w:b/>
          <w:i/>
          <w:iCs/>
          <w:color w:val="000000"/>
          <w:szCs w:val="21"/>
          <w:lang w:val="en-US" w:eastAsia="zh-CN"/>
        </w:rPr>
        <w:t>Into the Blue</w:t>
      </w:r>
    </w:p>
    <w:p w14:paraId="681EE038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  <w:lang w:val="en-US" w:eastAsia="zh-CN"/>
        </w:rPr>
        <w:t>作    者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default"/>
          <w:b/>
          <w:color w:val="000000"/>
          <w:szCs w:val="21"/>
          <w:lang w:val="en-US" w:eastAsia="zh-CN"/>
        </w:rPr>
        <w:t>Emma Brodie</w:t>
      </w:r>
    </w:p>
    <w:p w14:paraId="036BFD23">
      <w:pPr>
        <w:keepNext w:val="0"/>
        <w:keepLines w:val="0"/>
        <w:widowControl/>
        <w:suppressLineNumbers w:val="0"/>
        <w:jc w:val="left"/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WME</w:t>
      </w:r>
      <w:bookmarkStart w:id="2" w:name="_GoBack"/>
      <w:bookmarkEnd w:id="2"/>
    </w:p>
    <w:p w14:paraId="44AA82D0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代理公司：ANA/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1E9C281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  <w:lang w:val="en-US" w:eastAsia="zh-CN"/>
        </w:rPr>
        <w:t>页    数</w:t>
      </w:r>
      <w:r>
        <w:rPr>
          <w:rFonts w:hint="eastAsia"/>
          <w:b/>
          <w:color w:val="000000"/>
          <w:szCs w:val="21"/>
        </w:rPr>
        <w:t>：</w:t>
      </w:r>
      <w:r>
        <w:rPr>
          <w:rFonts w:hint="eastAsia"/>
          <w:b/>
          <w:color w:val="000000"/>
          <w:szCs w:val="21"/>
          <w:lang w:val="en-US" w:eastAsia="zh-CN"/>
        </w:rPr>
        <w:t>368页</w:t>
      </w:r>
    </w:p>
    <w:p w14:paraId="0EA3F6DE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77FDBCF1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代理地区：中国大陆、台湾</w:t>
      </w:r>
    </w:p>
    <w:p w14:paraId="305E5B17">
      <w:pPr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审读资料：电子稿</w:t>
      </w:r>
    </w:p>
    <w:p w14:paraId="6C90A21F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rFonts w:hint="eastAsia"/>
          <w:b/>
          <w:color w:val="000000"/>
          <w:szCs w:val="21"/>
        </w:rPr>
        <w:t xml:space="preserve">类 </w:t>
      </w:r>
      <w:r>
        <w:rPr>
          <w:rFonts w:hint="eastAsia"/>
          <w:b/>
          <w:color w:val="000000"/>
          <w:szCs w:val="21"/>
          <w:lang w:val="en-US" w:eastAsia="zh-CN"/>
        </w:rPr>
        <w:t xml:space="preserve">   </w:t>
      </w:r>
      <w:r>
        <w:rPr>
          <w:rFonts w:hint="eastAsia"/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  <w:lang w:val="en-US" w:eastAsia="zh-CN"/>
        </w:rPr>
        <w:t>大众文学</w:t>
      </w:r>
    </w:p>
    <w:p w14:paraId="29AC6245">
      <w:pPr>
        <w:rPr>
          <w:rFonts w:hint="default"/>
          <w:b/>
          <w:color w:val="C00000"/>
          <w:szCs w:val="21"/>
          <w:lang w:val="en-US" w:eastAsia="zh-CN"/>
        </w:rPr>
      </w:pPr>
      <w:r>
        <w:rPr>
          <w:rFonts w:hint="eastAsia"/>
          <w:b/>
          <w:color w:val="C00000"/>
          <w:szCs w:val="21"/>
          <w:lang w:val="en-US" w:eastAsia="zh-CN"/>
        </w:rPr>
        <w:t>版权已授：西班牙（报价中）</w:t>
      </w:r>
    </w:p>
    <w:p w14:paraId="0DCCD536">
      <w:pPr>
        <w:rPr>
          <w:b/>
          <w:color w:val="000000"/>
          <w:szCs w:val="21"/>
        </w:rPr>
      </w:pPr>
    </w:p>
    <w:p w14:paraId="63877BB4">
      <w:pPr>
        <w:rPr>
          <w:b/>
          <w:bCs/>
          <w:color w:val="000000"/>
          <w:szCs w:val="21"/>
        </w:rPr>
      </w:pPr>
    </w:p>
    <w:p w14:paraId="113D963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0B310C0">
      <w:pPr>
        <w:rPr>
          <w:b/>
          <w:bCs/>
          <w:color w:val="000000"/>
          <w:szCs w:val="21"/>
        </w:rPr>
      </w:pPr>
    </w:p>
    <w:p w14:paraId="0E79C2B9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  <w:t>一场跨越十年的爱恨纠葛，这对恋人在命运的捉弄下，冲破重重阻碍，重新找回属于他们的幸福！</w:t>
      </w:r>
    </w:p>
    <w:p w14:paraId="204D9DDC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4AAB8DC1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  <w:t>当 AJ·格雷夫斯（AJ Graves）为逃离小镇，与德鲁家族传奇女族长尤多拉·德鲁（Eudora Drew）达成协议，用表演课换取一张离开小镇和大家族的单程票，她怎会料到，这竟将自己卷入一场足以改变命运的禁忌之恋！</w:t>
      </w:r>
    </w:p>
    <w:p w14:paraId="73796683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02335080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  <w:t>那个炽热的夏天，她与神秘搭档诺亚·德鲁（Noah Drew）之间，仿佛有星辰指引，爱意在彼此心间悄然蔓延。可就在感情如日中天之时，诺亚毫无征兆地消失得无影无踪，只留下心碎的 AJ 独自舔舐伤口，并暗自下定决心，此生绝不再与他相见。</w:t>
      </w:r>
    </w:p>
    <w:p w14:paraId="59E066C9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15D32B46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  <w:t>七年后，命运弄人。当 AJ 得知自己将与如今已成为知名偶像的诺亚共同出演电视剧《碧海深处》时，震惊与慌乱如潮水般将她淹没。更具戏剧性的是，这部在 2007 年编剧罢工期间拍摄的剧集，完全依靠演员即兴发挥。随着剧情推进，AJ 和诺亚所饰演角色的命运紧密交织，现实与表演的界限逐渐变得模糊不清。</w:t>
      </w:r>
    </w:p>
    <w:p w14:paraId="5FD57266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0F5A8417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  <w:t>他们虽深知彼此之间隔着无法跨越的鸿沟，却又被一股强大的力量牵引，不由自主地靠近对方。在一次又一次的相遇与试探中，那段被深埋七年的真相，如同一颗定时炸弹，即将被引爆。而那个足以让他们的生活天翻地覆的毁灭性秘密，也即将浮出水面。</w:t>
      </w:r>
    </w:p>
    <w:p w14:paraId="79F3E81E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5C69145F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/>
          <w:color w:val="000000"/>
          <w:kern w:val="2"/>
          <w:sz w:val="21"/>
          <w:szCs w:val="21"/>
          <w:lang w:val="en-US" w:eastAsia="zh-CN" w:bidi="ar-SA"/>
        </w:rPr>
        <w:t>这是一个宏大而又缠绵悱恻的爱情故事，讲述了一对被悲剧性秘密拆散的恋人，在十年后因事业重逢的故事。故事以两位艺术家对艺术的满腔热情为动力，深情地探讨了慢性疾病对生活的影响以及家庭纽带的复杂与坚韧，充满了如史诗般浪漫的炽热情感和令人心跳加速的激情碰撞，让每一位读者都能沉浸其中，感受到爱情的伟大与力量。</w:t>
      </w:r>
    </w:p>
    <w:p w14:paraId="71D4B6A8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69289BD6">
      <w:pPr>
        <w:pStyle w:val="10"/>
        <w:keepNext w:val="0"/>
        <w:keepLines w:val="0"/>
        <w:widowControl/>
        <w:suppressLineNumbers w:val="0"/>
        <w:ind w:left="0" w:firstLine="0"/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2"/>
          <w:sz w:val="21"/>
          <w:szCs w:val="21"/>
          <w:lang w:val="en-US" w:eastAsia="zh-CN" w:bidi="ar-SA"/>
        </w:rPr>
        <w:t>作者简介：</w:t>
      </w:r>
    </w:p>
    <w:p w14:paraId="1A3EA3C6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drawing>
          <wp:anchor distT="0" distB="0" distL="57150" distR="57150" simplePos="0" relativeHeight="25166131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790575" cy="1190625"/>
            <wp:effectExtent l="0" t="0" r="0" b="0"/>
            <wp:wrapSquare wrapText="bothSides"/>
            <wp:docPr id="3" name="图片 3" descr="cid:_Foxmail.1@8bee3bfe-55d4-41ee-3e18-b4b43667b3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id:_Foxmail.1@8bee3bfe-55d4-41ee-3e18-b4b43667b3f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艾玛·布罗迪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Emma Brodie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）在图书出版行业工作了近十五年，目前是克拉克森·波特出版社（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Clarkson Potter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）的执行编辑。她毕业于约翰斯·霍普金斯大学（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Johns Hopkins University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）的写作研讨会项目，长期为《赫芬顿邮报》（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HuffPost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）撰稿，并担任写作工作坊的教员。她的处女作《大熊星之歌》（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SONGS IN URSA MAJOR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）于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2021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年由克诺夫出版社（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Knopf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）出版，电影版权已售予乡村路演影业（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Village Roadshow Pictures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）。</w:t>
      </w:r>
    </w:p>
    <w:p w14:paraId="1E3C1D8A">
      <w:pPr>
        <w:keepNext w:val="0"/>
        <w:keepLines w:val="0"/>
        <w:widowControl/>
        <w:suppressLineNumbers w:val="0"/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</w:p>
    <w:p w14:paraId="6551264D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016C8F02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color w:val="000000"/>
          <w:lang w:val="en-US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媒体评价：</w:t>
      </w:r>
    </w:p>
    <w:p w14:paraId="5750C048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/>
        <w:jc w:val="both"/>
        <w:rPr>
          <w:color w:val="000000"/>
          <w:lang w:val="en-US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 </w:t>
      </w:r>
    </w:p>
    <w:p w14:paraId="2AEE27F2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对《大熊星之歌》（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Songs in Ursa Major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）的赞誉</w:t>
      </w:r>
    </w:p>
    <w:p w14:paraId="3974059D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 </w:t>
      </w:r>
    </w:p>
    <w:p w14:paraId="69B021BA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《纽约时报》（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The New York Times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）新书推荐 • 《华尔街日报》（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The Wall Street Journal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）今夏最佳读物</w:t>
      </w:r>
    </w:p>
    <w:p w14:paraId="6BD11E90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 </w:t>
      </w:r>
    </w:p>
    <w:p w14:paraId="15521DC1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“受琼妮·米歇尔（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Joni Mitchell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）和詹姆斯·泰勒（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James Taylor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）的浪漫与创作合作的启发，这部迷人的处女作带有《几近成名》（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Almost Famous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）的氛围，探索了音乐行业粗犷——有时是沙文主义——的一面。”</w:t>
      </w:r>
    </w:p>
    <w:p w14:paraId="0ACCF956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30" w:firstLineChars="230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——《人物》（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People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），本周推荐书籍</w:t>
      </w:r>
    </w:p>
    <w:p w14:paraId="61A51CD8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 </w:t>
      </w:r>
    </w:p>
    <w:p w14:paraId="2F3AEBAF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“布罗迪处理了宏大的主题——个性化、精神疾病、遗产、自我毁灭与救赎——但她的笔触却比海风更轻盈。难怪乡村路演影业已将这部小说作为电影开发项目……你能看出作者真正热爱她的英雄，憎恨她的反派……《大熊星之歌》的情节如此紧凑，人物如此生动，以至于你几乎不会注意到作者在其中的掌控。”</w:t>
      </w:r>
    </w:p>
    <w:p w14:paraId="629EA85E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1470" w:firstLineChars="70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——克里斯·沃格纳（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Chris Vognar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），《洛杉矶时报》（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Los Angeles Times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</w:t>
      </w:r>
    </w:p>
    <w:p w14:paraId="6F3BAE10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 </w:t>
      </w:r>
    </w:p>
    <w:p w14:paraId="514C9F50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“我从未读过一本书能如此独特地捕捉到创造力的体验，以及在录音室中见证音乐历史诞生的那种令人震撼的冷静。艾玛·布罗迪完美地传达了那个时代的慵懒浪漫，以及一个试图挣脱束缚的艺术灵魂的美丽挣扎。书中的许多段落都是如此纯粹的诗歌，我读它们时不禁感到一阵寒意。我可以一口气读完这本书，而且依然意犹未尽。”</w:t>
      </w:r>
    </w:p>
    <w:p w14:paraId="4AE0372F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1680" w:firstLineChars="80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——凯文·关（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Kevin Kwan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），《疯狂亚洲富豪》（</w:t>
      </w:r>
      <w:r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Crazy Rich Asians</w:t>
      </w:r>
      <w:r>
        <w:rPr>
          <w:rFonts w:hint="eastAsia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  <w:t>）的《纽约时报》畅销书作者</w:t>
      </w:r>
    </w:p>
    <w:p w14:paraId="1F2555E3"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20"/>
        <w:jc w:val="both"/>
        <w:rPr>
          <w:rFonts w:hint="default" w:ascii="Times New Roman" w:hAnsi="Times New Roman" w:eastAsia="宋体" w:cs="Times New Roman"/>
          <w:b w:val="0"/>
          <w:bCs/>
          <w:color w:val="000000"/>
          <w:kern w:val="2"/>
          <w:sz w:val="21"/>
          <w:szCs w:val="21"/>
          <w:lang w:val="en-US" w:eastAsia="zh-CN" w:bidi="ar-SA"/>
        </w:rPr>
      </w:pPr>
    </w:p>
    <w:p w14:paraId="3C7FBC9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1F3C56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89FF45D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48D845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2456C92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1B630D7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11C1CD9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996275B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2A676E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61817B7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3E05A3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2677133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62DDBA8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itka Text Semibold">
    <w:panose1 w:val="00000000000000000000"/>
    <w:charset w:val="00"/>
    <w:family w:val="auto"/>
    <w:pitch w:val="default"/>
    <w:sig w:usb0="A00002EF" w:usb1="400020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4B21E8E"/>
    <w:rsid w:val="055F1B46"/>
    <w:rsid w:val="065742DF"/>
    <w:rsid w:val="0806583D"/>
    <w:rsid w:val="091A3CEE"/>
    <w:rsid w:val="0AA822B2"/>
    <w:rsid w:val="0AF33AE7"/>
    <w:rsid w:val="0C1B0437"/>
    <w:rsid w:val="0F026AA1"/>
    <w:rsid w:val="103D5112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594F22"/>
    <w:rsid w:val="17EB3DD3"/>
    <w:rsid w:val="17EB450E"/>
    <w:rsid w:val="18E64D85"/>
    <w:rsid w:val="1945415A"/>
    <w:rsid w:val="194C3497"/>
    <w:rsid w:val="19DF16AA"/>
    <w:rsid w:val="1C556DAA"/>
    <w:rsid w:val="1CD852E5"/>
    <w:rsid w:val="21DC5EE4"/>
    <w:rsid w:val="224C6733"/>
    <w:rsid w:val="22720320"/>
    <w:rsid w:val="2281582F"/>
    <w:rsid w:val="24030E99"/>
    <w:rsid w:val="247A4332"/>
    <w:rsid w:val="256B5BB0"/>
    <w:rsid w:val="273146EB"/>
    <w:rsid w:val="27321C92"/>
    <w:rsid w:val="286A24EC"/>
    <w:rsid w:val="287303E4"/>
    <w:rsid w:val="28FD455E"/>
    <w:rsid w:val="291C72C0"/>
    <w:rsid w:val="294F1F48"/>
    <w:rsid w:val="29AD0A59"/>
    <w:rsid w:val="2C5142E1"/>
    <w:rsid w:val="2F781BEF"/>
    <w:rsid w:val="2FBB5323"/>
    <w:rsid w:val="30DC13F0"/>
    <w:rsid w:val="31994BEB"/>
    <w:rsid w:val="31F664E1"/>
    <w:rsid w:val="3224724F"/>
    <w:rsid w:val="32DE787A"/>
    <w:rsid w:val="354B6B44"/>
    <w:rsid w:val="362D6CBA"/>
    <w:rsid w:val="368055A2"/>
    <w:rsid w:val="36B36BBA"/>
    <w:rsid w:val="36B97AE5"/>
    <w:rsid w:val="37845DE0"/>
    <w:rsid w:val="38D64782"/>
    <w:rsid w:val="38EA0260"/>
    <w:rsid w:val="3A115BEA"/>
    <w:rsid w:val="3A133C1C"/>
    <w:rsid w:val="3C563F4C"/>
    <w:rsid w:val="3C70398D"/>
    <w:rsid w:val="3DAC00D1"/>
    <w:rsid w:val="3E09134A"/>
    <w:rsid w:val="3E921340"/>
    <w:rsid w:val="3F283A52"/>
    <w:rsid w:val="3F486E36"/>
    <w:rsid w:val="40496AEF"/>
    <w:rsid w:val="44EF6A15"/>
    <w:rsid w:val="45083B8C"/>
    <w:rsid w:val="45D27E9B"/>
    <w:rsid w:val="4603463C"/>
    <w:rsid w:val="468C3169"/>
    <w:rsid w:val="48E406BA"/>
    <w:rsid w:val="494B7BFF"/>
    <w:rsid w:val="4A392FB7"/>
    <w:rsid w:val="4E5B34FC"/>
    <w:rsid w:val="4E87411E"/>
    <w:rsid w:val="4E9F4AB7"/>
    <w:rsid w:val="511F73E1"/>
    <w:rsid w:val="512761C5"/>
    <w:rsid w:val="52C442F7"/>
    <w:rsid w:val="53904970"/>
    <w:rsid w:val="53F32DF7"/>
    <w:rsid w:val="54C10A13"/>
    <w:rsid w:val="564055B9"/>
    <w:rsid w:val="59296817"/>
    <w:rsid w:val="59F00E16"/>
    <w:rsid w:val="5A1E61D2"/>
    <w:rsid w:val="5B97795B"/>
    <w:rsid w:val="5BA26C0E"/>
    <w:rsid w:val="5C4C26D6"/>
    <w:rsid w:val="5E0C3542"/>
    <w:rsid w:val="5E572DEB"/>
    <w:rsid w:val="5E8E14C4"/>
    <w:rsid w:val="60197BB5"/>
    <w:rsid w:val="605753D1"/>
    <w:rsid w:val="60956D42"/>
    <w:rsid w:val="621F6849"/>
    <w:rsid w:val="64991013"/>
    <w:rsid w:val="65071890"/>
    <w:rsid w:val="661D5426"/>
    <w:rsid w:val="663920D5"/>
    <w:rsid w:val="674455A4"/>
    <w:rsid w:val="68202442"/>
    <w:rsid w:val="6BDA07AF"/>
    <w:rsid w:val="6CB165AA"/>
    <w:rsid w:val="6E9A5873"/>
    <w:rsid w:val="6EFA2466"/>
    <w:rsid w:val="6FC51851"/>
    <w:rsid w:val="700F19BC"/>
    <w:rsid w:val="70466442"/>
    <w:rsid w:val="714C3AC4"/>
    <w:rsid w:val="724427AD"/>
    <w:rsid w:val="72682163"/>
    <w:rsid w:val="72D728DF"/>
    <w:rsid w:val="73B21D95"/>
    <w:rsid w:val="73D3309A"/>
    <w:rsid w:val="74556026"/>
    <w:rsid w:val="75830558"/>
    <w:rsid w:val="76184B1A"/>
    <w:rsid w:val="77E96C58"/>
    <w:rsid w:val="795D1E91"/>
    <w:rsid w:val="79B50936"/>
    <w:rsid w:val="79B77DA5"/>
    <w:rsid w:val="79F20C04"/>
    <w:rsid w:val="7A9F41E6"/>
    <w:rsid w:val="7E3D65C1"/>
    <w:rsid w:val="7E3E74AD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1537</Words>
  <Characters>2050</Characters>
  <Lines>12</Lines>
  <Paragraphs>3</Paragraphs>
  <TotalTime>16</TotalTime>
  <ScaleCrop>false</ScaleCrop>
  <LinksUpToDate>false</LinksUpToDate>
  <CharactersWithSpaces>2118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2025-03-28T08:20:55Z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581F1918E0774FF8B4AB0C78E4611688_13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