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2927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《七舰简史：航海如何重塑世界》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Seven Ships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How Seafaring Changes the World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Chris Armstrong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PRH UK, General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29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春季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历史</w:t>
      </w:r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323C5E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船舶不仅改变了历史轨迹，更是历史的创造者。奴隶船将1200万非洲人运往新大陆，永远改写了非洲与美洲的社会结构；海盗船肆虐七海，劫掠西班牙珍宝船与英国奴隶船；救生艇</w:t>
      </w:r>
      <w:r>
        <w:rPr>
          <w:rFonts w:hint="eastAsia"/>
          <w:bCs/>
          <w:kern w:val="0"/>
          <w:szCs w:val="21"/>
          <w:lang w:val="en-US" w:eastAsia="zh-CN"/>
        </w:rPr>
        <w:t>船员</w:t>
      </w:r>
      <w:r>
        <w:rPr>
          <w:rFonts w:hint="eastAsia"/>
          <w:bCs/>
          <w:kern w:val="0"/>
          <w:szCs w:val="21"/>
        </w:rPr>
        <w:t>勇闯险恶海域实施救援——昔日的渔民，今日往往是为求生而冒险渡海的移民。未来，理想主义的海洋拓荒者或将在浪涛间建立家园，打造超越社会规范与现行政体的殖民地。船舶带我们探索新天地，开辟商贸航线，守卫疆界亦突破封锁。它既是殖民与强权的工具，也是追寻名利与逃离压迫的方舟。船舶始终推动人类文明，并将持续改变世界。</w:t>
      </w:r>
    </w:p>
    <w:p w14:paraId="07888B6A">
      <w:pPr>
        <w:rPr>
          <w:rFonts w:hint="eastAsia"/>
          <w:bCs/>
          <w:kern w:val="0"/>
          <w:szCs w:val="21"/>
        </w:rPr>
      </w:pPr>
    </w:p>
    <w:p w14:paraId="7C497B3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在其开创性首部大众著作《七舰简史》中，政治理论家克里斯·阿姆斯特朗引领读者从加勒比暖流航向印度洋险浪，探索船舶如何形塑历史、政治、经济与社会。从"黑胡子"游弋大西洋商路的海盗黄金时代，到警醒世人的现代自由船队；从象征种族资本主义恐怖时代的奴隶船，到自由主义者设计的海上城市——船舶始终与人类文明同行，深刻塑造我们的历史叙事，持续影响认知世界的方式。借鉴大卫·阿布拉菲亚《无垠之海》的宏阔视野，本书通过七艘改变历史、影响未来的船舶，展开一部全面而引人入胜的航海史诗。这不仅是给卧游历史者的读物，更是为所有渴望理解文明演进逻辑、认知海洋深远影响之人准备的沉思录。</w:t>
      </w:r>
    </w:p>
    <w:p w14:paraId="554EFD56">
      <w:pPr>
        <w:rPr>
          <w:rFonts w:hint="eastAsia"/>
          <w:bCs/>
          <w:kern w:val="0"/>
          <w:szCs w:val="21"/>
          <w:lang w:val="en-US" w:eastAsia="zh-CN"/>
        </w:rPr>
      </w:pPr>
    </w:p>
    <w:p w14:paraId="09C01FDB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078263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克里斯·阿姆斯特朗（</w:t>
      </w:r>
      <w:r>
        <w:rPr>
          <w:rFonts w:hint="eastAsia"/>
          <w:b/>
          <w:bCs/>
          <w:color w:val="000000"/>
          <w:szCs w:val="21"/>
          <w:highlight w:val="none"/>
        </w:rPr>
        <w:t>Chris Armstrong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任南安普顿大学政治与国际关系系政治理论教授，专攻规范政治理论，著有《全球正义与生物多样性危机：不平等世界的保护》（牛津大学出版社，2024）及《蓝色新政：为何需要海洋新政治》（耶鲁大学出版社，2022）——后者获评《新政治家》年度图书，并斩获美国政治学会2023年林顿·基思·考德威尔奖。文章见于《卫报》《伦敦书评》《对话》等媒体。</w:t>
      </w:r>
    </w:p>
    <w:p w14:paraId="519939F2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499CCBD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E114878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498961F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AB91C8E">
      <w:pPr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"为文明重建提供令人信服的指南，振奋人心的阅读体验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"</w:t>
      </w:r>
    </w:p>
    <w:p w14:paraId="4206D254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——《卫报》菲比·韦斯顿</w:t>
      </w:r>
    </w:p>
    <w:p w14:paraId="612E7FC3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5BB71DF">
      <w:pPr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"广博、深刻而富有洞见…勾勒出更具包容性的新愿景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"</w:t>
      </w:r>
    </w:p>
    <w:p w14:paraId="51D45807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——莱亚·伊皮《自由》作者</w:t>
      </w:r>
    </w:p>
    <w:p w14:paraId="43705E03">
      <w:pPr>
        <w:ind w:right="420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0A2DF72">
      <w:pPr>
        <w:ind w:right="420" w:firstLine="420" w:firstLineChars="20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"犀利揭示现行海洋治理体系如何因碎片化、软弱性与既得利益羁绊而无力阻止生态崩溃…通过剖析困境论证变革必要性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。</w:t>
      </w:r>
      <w:bookmarkStart w:id="1" w:name="_GoBack"/>
      <w:bookmarkEnd w:id="1"/>
      <w:r>
        <w:rPr>
          <w:rFonts w:hint="default"/>
          <w:b w:val="0"/>
          <w:bCs w:val="0"/>
          <w:color w:val="000000"/>
          <w:szCs w:val="21"/>
          <w:lang w:val="en-US" w:eastAsia="zh-CN"/>
        </w:rPr>
        <w:t>"</w:t>
      </w:r>
    </w:p>
    <w:p w14:paraId="139218A3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——《新科学家》西蒙·英格斯</w:t>
      </w:r>
    </w:p>
    <w:p w14:paraId="7C7F5BEE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3D693F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4AF84D8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大纲目录</w:t>
      </w:r>
      <w:r>
        <w:rPr>
          <w:rFonts w:hint="eastAsia"/>
          <w:b/>
          <w:bCs/>
          <w:color w:val="000000"/>
          <w:szCs w:val="21"/>
        </w:rPr>
        <w:t>：</w:t>
      </w:r>
    </w:p>
    <w:p w14:paraId="17C86B2F">
      <w:pPr>
        <w:ind w:right="420"/>
        <w:rPr>
          <w:b/>
          <w:bCs/>
          <w:color w:val="000000"/>
          <w:szCs w:val="21"/>
        </w:rPr>
      </w:pPr>
    </w:p>
    <w:p w14:paraId="4BEC0991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引言</w:t>
      </w:r>
    </w:p>
    <w:p w14:paraId="67B8B62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章节纲要</w:t>
      </w:r>
    </w:p>
    <w:p w14:paraId="1B6E3733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第一章 奴隶船</w:t>
      </w:r>
    </w:p>
    <w:p w14:paraId="188197A5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第二章 海盗船</w:t>
      </w:r>
    </w:p>
    <w:p w14:paraId="0A9B8A23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第三章 救生艇</w:t>
      </w:r>
    </w:p>
    <w:p w14:paraId="402C68B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第四章 集装箱船</w:t>
      </w:r>
    </w:p>
    <w:p w14:paraId="5AEC7FA5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第五章 超级游艇</w:t>
      </w:r>
    </w:p>
    <w:p w14:paraId="73CDB48D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第六章 浮城</w:t>
      </w:r>
    </w:p>
    <w:p w14:paraId="43F4A47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第七章 自由之船</w:t>
      </w:r>
    </w:p>
    <w:p w14:paraId="47E94D7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结论</w:t>
      </w:r>
    </w:p>
    <w:p w14:paraId="7599598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作者简介</w:t>
      </w:r>
    </w:p>
    <w:p w14:paraId="0C1EF55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媒体评价</w:t>
      </w:r>
    </w:p>
    <w:p w14:paraId="7F3EDBFD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精选著述</w:t>
      </w:r>
    </w:p>
    <w:p w14:paraId="67506B7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同类作品</w:t>
      </w:r>
    </w:p>
    <w:p w14:paraId="218D53BD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补充信息</w:t>
      </w:r>
    </w:p>
    <w:p w14:paraId="770A771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试读章节</w:t>
      </w: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A3C3E9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C0008F4"/>
    <w:rsid w:val="0C3C7AF6"/>
    <w:rsid w:val="0E6A6913"/>
    <w:rsid w:val="1BA86C22"/>
    <w:rsid w:val="2C0B6F0E"/>
    <w:rsid w:val="2DA34CE1"/>
    <w:rsid w:val="336A3470"/>
    <w:rsid w:val="37C16EB5"/>
    <w:rsid w:val="3AE04ADC"/>
    <w:rsid w:val="3C1934F8"/>
    <w:rsid w:val="3E7456C5"/>
    <w:rsid w:val="432C279F"/>
    <w:rsid w:val="46B43896"/>
    <w:rsid w:val="60B3492E"/>
    <w:rsid w:val="68EE2E29"/>
    <w:rsid w:val="6AEB37C3"/>
    <w:rsid w:val="70862DF2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1148</Words>
  <Characters>1499</Characters>
  <Lines>25</Lines>
  <Paragraphs>7</Paragraphs>
  <TotalTime>1</TotalTime>
  <ScaleCrop>false</ScaleCrop>
  <LinksUpToDate>false</LinksUpToDate>
  <CharactersWithSpaces>1536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2025-11-17T01:25:55Z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