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《运河边的房子》</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House on the Canal</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Thomas</w:t>
      </w:r>
      <w:r>
        <w:rPr>
          <w:rFonts w:hint="eastAsia"/>
          <w:b/>
          <w:bCs/>
          <w:color w:val="000000"/>
          <w:szCs w:val="21"/>
          <w:highlight w:val="none"/>
          <w:lang w:val="en-US" w:eastAsia="zh-CN"/>
        </w:rPr>
        <w:t xml:space="preserve"> </w:t>
      </w:r>
      <w:r>
        <w:rPr>
          <w:rFonts w:hint="eastAsia"/>
          <w:b/>
          <w:bCs/>
          <w:color w:val="000000"/>
          <w:szCs w:val="21"/>
          <w:highlight w:val="none"/>
        </w:rPr>
        <w:t xml:space="preserve">Harding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PRH UK, Michael Joseph</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256页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2月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暂无资料</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1391F039">
      <w:pPr>
        <w:ind w:firstLine="420" w:firstLineChars="200"/>
        <w:rPr>
          <w:rFonts w:hint="eastAsia"/>
          <w:bCs/>
          <w:kern w:val="0"/>
          <w:szCs w:val="21"/>
        </w:rPr>
      </w:pPr>
      <w:r>
        <w:rPr>
          <w:rFonts w:hint="eastAsia"/>
          <w:bCs/>
          <w:kern w:val="0"/>
          <w:szCs w:val="21"/>
        </w:rPr>
        <w:t>继托马斯·哈丁入围奥威尔奖的《</w:t>
      </w:r>
      <w:r>
        <w:rPr>
          <w:rFonts w:hint="eastAsia"/>
          <w:bCs/>
          <w:kern w:val="0"/>
          <w:szCs w:val="21"/>
          <w:lang w:val="en-US" w:eastAsia="zh-CN"/>
        </w:rPr>
        <w:t>湖边小屋</w:t>
      </w:r>
      <w:r>
        <w:rPr>
          <w:rFonts w:hint="eastAsia"/>
          <w:bCs/>
          <w:kern w:val="0"/>
          <w:szCs w:val="21"/>
        </w:rPr>
        <w:t>》后，新作《运河边的房子》对世界上最著名的建筑之一——阿姆斯特丹的安妮·弗兰克之家——进行了深情的反思，并探讨了通过地点讲述历史的意义。</w:t>
      </w:r>
    </w:p>
    <w:p w14:paraId="62931B51">
      <w:pPr>
        <w:ind w:firstLine="420" w:firstLineChars="200"/>
        <w:rPr>
          <w:rFonts w:hint="eastAsia"/>
          <w:bCs/>
          <w:kern w:val="0"/>
          <w:szCs w:val="21"/>
        </w:rPr>
      </w:pPr>
    </w:p>
    <w:p w14:paraId="164C652D">
      <w:pPr>
        <w:ind w:firstLine="420" w:firstLineChars="200"/>
        <w:rPr>
          <w:rFonts w:hint="eastAsia"/>
          <w:bCs/>
          <w:kern w:val="0"/>
          <w:szCs w:val="21"/>
        </w:rPr>
      </w:pPr>
      <w:r>
        <w:rPr>
          <w:rFonts w:hint="eastAsia"/>
          <w:bCs/>
          <w:kern w:val="0"/>
          <w:szCs w:val="21"/>
        </w:rPr>
        <w:t>托马斯·哈丁以跨越四百年的调查视角，记录了安妮·弗兰克及其家人在阿姆斯特丹王子运河畔的生活。弗兰克一家的故事与这座建筑在历史上其他居住者的动态叙事交织在一起。如今，这座运河边的房子是由安妮的父亲奥托建立的博物馆，用以保存安妮·弗兰克的遗产以及这座建筑恒久不衰的激励力量。</w:t>
      </w:r>
    </w:p>
    <w:p w14:paraId="7B7302D4">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托马斯·哈丁引导我们反思建成环境的重要性，以及它在促进记忆与集体铭记中所扮演的角色。</w:t>
      </w:r>
    </w:p>
    <w:p w14:paraId="75C550A2">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托马斯·哈丁（</w:t>
      </w:r>
      <w:r>
        <w:rPr>
          <w:rFonts w:hint="eastAsia"/>
          <w:b/>
          <w:bCs/>
          <w:color w:val="000000"/>
          <w:szCs w:val="21"/>
          <w:highlight w:val="none"/>
        </w:rPr>
        <w:t>Thomas</w:t>
      </w:r>
      <w:r>
        <w:rPr>
          <w:rFonts w:hint="eastAsia"/>
          <w:b/>
          <w:bCs/>
          <w:color w:val="000000"/>
          <w:szCs w:val="21"/>
          <w:highlight w:val="none"/>
          <w:lang w:val="en-US" w:eastAsia="zh-CN"/>
        </w:rPr>
        <w:t xml:space="preserve"> </w:t>
      </w:r>
      <w:r>
        <w:rPr>
          <w:rFonts w:hint="eastAsia"/>
          <w:b/>
          <w:bCs/>
          <w:color w:val="000000"/>
          <w:szCs w:val="21"/>
          <w:highlight w:val="none"/>
        </w:rPr>
        <w:t>Harding</w:t>
      </w:r>
      <w:r>
        <w:rPr>
          <w:rFonts w:hint="eastAsia"/>
          <w:b/>
          <w:bCs/>
          <w:color w:val="000000"/>
          <w:szCs w:val="21"/>
          <w:lang w:val="en-US" w:eastAsia="zh-CN"/>
        </w:rPr>
        <w:t>）</w:t>
      </w:r>
      <w:r>
        <w:rPr>
          <w:rFonts w:hint="eastAsia"/>
          <w:b w:val="0"/>
          <w:bCs w:val="0"/>
          <w:color w:val="000000"/>
          <w:szCs w:val="21"/>
          <w:lang w:val="en-US" w:eastAsia="zh-CN"/>
        </w:rPr>
        <w:t>是一位畅销历史非虚构作家。《运河边的房子》紧随其获得国际赞誉的《</w:t>
      </w:r>
      <w:r>
        <w:rPr>
          <w:rFonts w:hint="eastAsia"/>
          <w:bCs/>
          <w:kern w:val="0"/>
          <w:szCs w:val="21"/>
          <w:lang w:val="en-US" w:eastAsia="zh-CN"/>
        </w:rPr>
        <w:t>湖边小屋</w:t>
      </w:r>
      <w:bookmarkStart w:id="1" w:name="_GoBack"/>
      <w:bookmarkEnd w:id="1"/>
      <w:r>
        <w:rPr>
          <w:rFonts w:hint="eastAsia"/>
          <w:b w:val="0"/>
          <w:bCs w:val="0"/>
          <w:color w:val="000000"/>
          <w:szCs w:val="21"/>
          <w:lang w:val="en-US" w:eastAsia="zh-CN"/>
        </w:rPr>
        <w:t>》之后，后者曾入围科斯塔图书奖传记奖短名单，并在七个国家/地区出版。托马斯此前还著有数部调查性非虚构作品，目前正在开发制作成电视剧集，其中包括《纸上的血迹》。托马斯的上一部作品《爱因斯坦的仇敌》已在五个国家/地区售出版权。</w:t>
      </w:r>
    </w:p>
    <w:p w14:paraId="10811267">
      <w:pPr>
        <w:ind w:right="420"/>
        <w:jc w:val="left"/>
        <w:rPr>
          <w:rFonts w:hint="default"/>
          <w:b/>
          <w:bCs/>
          <w:color w:val="000000"/>
          <w:szCs w:val="21"/>
          <w:lang w:val="en-US" w:eastAsia="zh-CN"/>
        </w:rPr>
      </w:pPr>
    </w:p>
    <w:p w14:paraId="65EC9EFD">
      <w:pPr>
        <w:ind w:right="420"/>
        <w:jc w:val="left"/>
        <w:rPr>
          <w:rFonts w:hint="default"/>
          <w:b/>
          <w:bCs/>
          <w:color w:val="000000"/>
          <w:szCs w:val="21"/>
          <w:lang w:val="en-US" w:eastAsia="zh-CN"/>
        </w:rPr>
      </w:pPr>
    </w:p>
    <w:p w14:paraId="17806401">
      <w:pPr>
        <w:shd w:val="clear" w:color="auto" w:fill="FFFFFF"/>
        <w:rPr>
          <w:rFonts w:hint="eastAsia" w:ascii="Arial Unicode MS" w:hAnsi="Arial Unicode MS" w:cs="Verdana"/>
          <w:b/>
          <w:bCs/>
          <w:color w:val="000000"/>
        </w:rPr>
      </w:pPr>
    </w:p>
    <w:p w14:paraId="18527027">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7444C18"/>
    <w:rsid w:val="18AE01D8"/>
    <w:rsid w:val="1BA86C22"/>
    <w:rsid w:val="1D261077"/>
    <w:rsid w:val="1F687700"/>
    <w:rsid w:val="24771887"/>
    <w:rsid w:val="2577067B"/>
    <w:rsid w:val="2C0B6F0E"/>
    <w:rsid w:val="2DA34CE1"/>
    <w:rsid w:val="311566B0"/>
    <w:rsid w:val="341F29BE"/>
    <w:rsid w:val="35FB0213"/>
    <w:rsid w:val="3AE04ADC"/>
    <w:rsid w:val="3C1934F8"/>
    <w:rsid w:val="3E7E2F12"/>
    <w:rsid w:val="406B3CF1"/>
    <w:rsid w:val="42B533F0"/>
    <w:rsid w:val="432A1201"/>
    <w:rsid w:val="432C279F"/>
    <w:rsid w:val="459C0CF6"/>
    <w:rsid w:val="46B43896"/>
    <w:rsid w:val="46C16582"/>
    <w:rsid w:val="473A51A1"/>
    <w:rsid w:val="4AE76519"/>
    <w:rsid w:val="543E2C5B"/>
    <w:rsid w:val="57D22307"/>
    <w:rsid w:val="58DF0B08"/>
    <w:rsid w:val="5AB726B1"/>
    <w:rsid w:val="601E082E"/>
    <w:rsid w:val="60B3492E"/>
    <w:rsid w:val="64EC7283"/>
    <w:rsid w:val="658E4B66"/>
    <w:rsid w:val="68EE2E29"/>
    <w:rsid w:val="69A93106"/>
    <w:rsid w:val="6AA515D5"/>
    <w:rsid w:val="6ABF12C5"/>
    <w:rsid w:val="6AEB37C3"/>
    <w:rsid w:val="6C615816"/>
    <w:rsid w:val="6CA56A14"/>
    <w:rsid w:val="71E47BC3"/>
    <w:rsid w:val="72F53670"/>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653</Words>
  <Characters>972</Characters>
  <Lines>25</Lines>
  <Paragraphs>7</Paragraphs>
  <TotalTime>0</TotalTime>
  <ScaleCrop>false</ScaleCrop>
  <LinksUpToDate>false</LinksUpToDate>
  <CharactersWithSpaces>1002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2026-04-22T02:23:54Z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