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7DD1FD03" w:rsidR="00AE574A" w:rsidRDefault="00AE574A">
      <w:pPr>
        <w:rPr>
          <w:b/>
          <w:color w:val="000000"/>
          <w:szCs w:val="21"/>
        </w:rPr>
      </w:pPr>
    </w:p>
    <w:p w14:paraId="3DA7336F" w14:textId="3A39B994" w:rsidR="00774233" w:rsidRPr="00774233" w:rsidRDefault="00F23AD3"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61FC4D23">
            <wp:simplePos x="0" y="0"/>
            <wp:positionH relativeFrom="margin">
              <wp:posOffset>4050665</wp:posOffset>
            </wp:positionH>
            <wp:positionV relativeFrom="paragraph">
              <wp:posOffset>8255</wp:posOffset>
            </wp:positionV>
            <wp:extent cx="1346200" cy="2019300"/>
            <wp:effectExtent l="0" t="0" r="635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346200" cy="201930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BF059A" w:rsidRPr="00BF059A">
        <w:rPr>
          <w:rFonts w:hint="eastAsia"/>
          <w:b/>
          <w:bCs/>
          <w:color w:val="000000"/>
          <w:szCs w:val="21"/>
        </w:rPr>
        <w:t>科学应对青少年进食障碍：</w:t>
      </w:r>
      <w:r w:rsidR="00D815BC" w:rsidRPr="00D815BC">
        <w:rPr>
          <w:b/>
          <w:bCs/>
          <w:color w:val="000000"/>
          <w:szCs w:val="21"/>
        </w:rPr>
        <w:t>家长必备指南</w:t>
      </w:r>
      <w:r w:rsidR="00D815BC">
        <w:rPr>
          <w:rFonts w:hint="eastAsia"/>
          <w:b/>
          <w:bCs/>
          <w:color w:val="000000"/>
          <w:szCs w:val="21"/>
        </w:rPr>
        <w:t>（</w:t>
      </w:r>
      <w:r w:rsidR="00D815BC" w:rsidRPr="00D815BC">
        <w:rPr>
          <w:b/>
          <w:bCs/>
          <w:color w:val="000000"/>
          <w:szCs w:val="21"/>
        </w:rPr>
        <w:t>第二版</w:t>
      </w:r>
      <w:r w:rsidR="00D815BC">
        <w:rPr>
          <w:rFonts w:hint="eastAsia"/>
          <w:b/>
          <w:bCs/>
          <w:color w:val="000000"/>
          <w:szCs w:val="21"/>
        </w:rPr>
        <w:t>）</w:t>
      </w:r>
      <w:r w:rsidR="003C4C2E" w:rsidRPr="003C4C2E">
        <w:rPr>
          <w:rFonts w:hint="eastAsia"/>
          <w:b/>
          <w:bCs/>
          <w:color w:val="000000"/>
          <w:szCs w:val="21"/>
        </w:rPr>
        <w:t>》</w:t>
      </w:r>
    </w:p>
    <w:p w14:paraId="0A99D036" w14:textId="7617B846" w:rsidR="00E8628C" w:rsidRPr="00C60D6D" w:rsidRDefault="00774233" w:rsidP="009264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26443" w:rsidRPr="00926443">
        <w:rPr>
          <w:b/>
          <w:bCs/>
          <w:color w:val="000000"/>
          <w:szCs w:val="21"/>
        </w:rPr>
        <w:t>IF YOUR ADOLESCENT HAS AN EATING DISORDER</w:t>
      </w:r>
      <w:r w:rsidR="00926443">
        <w:rPr>
          <w:b/>
          <w:bCs/>
          <w:color w:val="000000"/>
          <w:szCs w:val="21"/>
        </w:rPr>
        <w:t xml:space="preserve">: </w:t>
      </w:r>
      <w:r w:rsidR="00926443" w:rsidRPr="00926443">
        <w:rPr>
          <w:b/>
          <w:bCs/>
          <w:color w:val="000000"/>
          <w:szCs w:val="21"/>
        </w:rPr>
        <w:t>An Essential Resource for Parents</w:t>
      </w:r>
      <w:r w:rsidR="006E308E">
        <w:rPr>
          <w:b/>
          <w:bCs/>
          <w:color w:val="000000"/>
          <w:szCs w:val="21"/>
        </w:rPr>
        <w:t xml:space="preserve">, </w:t>
      </w:r>
      <w:r w:rsidR="006E308E" w:rsidRPr="006E308E">
        <w:rPr>
          <w:b/>
          <w:bCs/>
          <w:color w:val="000000"/>
          <w:szCs w:val="21"/>
        </w:rPr>
        <w:t>Second Edition</w:t>
      </w:r>
    </w:p>
    <w:p w14:paraId="39B7E419" w14:textId="47149770"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BF059A" w:rsidRPr="00BF059A">
        <w:rPr>
          <w:b/>
          <w:bCs/>
          <w:color w:val="000000"/>
          <w:szCs w:val="21"/>
        </w:rPr>
        <w:t xml:space="preserve">Tim Walsh and Deborah R. </w:t>
      </w:r>
      <w:proofErr w:type="spellStart"/>
      <w:r w:rsidR="00BF059A" w:rsidRPr="00BF059A">
        <w:rPr>
          <w:b/>
          <w:bCs/>
          <w:color w:val="000000"/>
          <w:szCs w:val="21"/>
        </w:rPr>
        <w:t>Glasofer</w:t>
      </w:r>
      <w:proofErr w:type="spellEnd"/>
      <w:r w:rsidR="00BF059A" w:rsidRPr="00BF059A">
        <w:rPr>
          <w:b/>
          <w:bCs/>
          <w:color w:val="000000"/>
          <w:szCs w:val="21"/>
        </w:rPr>
        <w:t xml:space="preserve"> </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46C299FD"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B7CF3">
        <w:rPr>
          <w:rFonts w:hint="eastAsia"/>
          <w:b/>
          <w:bCs/>
          <w:color w:val="000000"/>
          <w:szCs w:val="21"/>
        </w:rPr>
        <w:t>2</w:t>
      </w:r>
      <w:r w:rsidR="00D815BC">
        <w:rPr>
          <w:rFonts w:hint="eastAsia"/>
          <w:b/>
          <w:bCs/>
          <w:color w:val="000000"/>
          <w:szCs w:val="21"/>
        </w:rPr>
        <w:t>56</w:t>
      </w:r>
      <w:r w:rsidR="006B7CF3">
        <w:rPr>
          <w:rFonts w:hint="eastAsia"/>
          <w:b/>
          <w:bCs/>
          <w:color w:val="000000"/>
          <w:szCs w:val="21"/>
        </w:rPr>
        <w:t>页</w:t>
      </w:r>
    </w:p>
    <w:p w14:paraId="31380F95" w14:textId="4D70EB34"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w:t>
      </w:r>
      <w:r w:rsidR="00D815BC">
        <w:rPr>
          <w:rFonts w:hint="eastAsia"/>
          <w:b/>
          <w:bCs/>
          <w:color w:val="000000"/>
          <w:szCs w:val="21"/>
        </w:rPr>
        <w:t>0</w:t>
      </w:r>
      <w:r w:rsidR="00D3372E">
        <w:rPr>
          <w:rFonts w:hint="eastAsia"/>
          <w:b/>
          <w:bCs/>
          <w:color w:val="000000"/>
          <w:szCs w:val="21"/>
        </w:rPr>
        <w:t>年</w:t>
      </w:r>
      <w:r w:rsidR="00D815BC">
        <w:rPr>
          <w:rFonts w:hint="eastAsia"/>
          <w:b/>
          <w:bCs/>
          <w:color w:val="000000"/>
          <w:szCs w:val="21"/>
        </w:rPr>
        <w:t>6</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5C1BAB78" w:rsidR="00F347E3" w:rsidRDefault="00774233" w:rsidP="00882F94">
      <w:pPr>
        <w:tabs>
          <w:tab w:val="left" w:pos="341"/>
          <w:tab w:val="left" w:pos="5235"/>
        </w:tabs>
        <w:rPr>
          <w:rFonts w:hint="eastAsia"/>
          <w:b/>
          <w:bCs/>
          <w:szCs w:val="21"/>
        </w:rPr>
      </w:pPr>
      <w:r w:rsidRPr="00774233">
        <w:rPr>
          <w:b/>
          <w:bCs/>
          <w:szCs w:val="21"/>
        </w:rPr>
        <w:t>类</w:t>
      </w:r>
      <w:r w:rsidRPr="00774233">
        <w:rPr>
          <w:b/>
          <w:bCs/>
          <w:szCs w:val="21"/>
        </w:rPr>
        <w:t xml:space="preserve">    </w:t>
      </w:r>
      <w:r w:rsidRPr="00774233">
        <w:rPr>
          <w:b/>
          <w:bCs/>
          <w:szCs w:val="21"/>
        </w:rPr>
        <w:t>型：</w:t>
      </w:r>
      <w:r w:rsidR="00BF059A">
        <w:rPr>
          <w:b/>
          <w:bCs/>
          <w:szCs w:val="21"/>
        </w:rPr>
        <w:t>家教育儿</w:t>
      </w:r>
    </w:p>
    <w:p w14:paraId="00123553" w14:textId="35F4280C" w:rsidR="00BF059A" w:rsidRPr="00BF059A" w:rsidRDefault="00BF059A" w:rsidP="00BF059A">
      <w:pPr>
        <w:tabs>
          <w:tab w:val="left" w:pos="341"/>
          <w:tab w:val="left" w:pos="5235"/>
        </w:tabs>
        <w:rPr>
          <w:b/>
          <w:bCs/>
          <w:color w:val="FF0000"/>
          <w:szCs w:val="21"/>
        </w:rPr>
      </w:pPr>
      <w:r w:rsidRPr="00BF059A">
        <w:rPr>
          <w:b/>
          <w:bCs/>
          <w:color w:val="FF0000"/>
          <w:szCs w:val="21"/>
        </w:rPr>
        <w:t>Best Sellers Rank:</w:t>
      </w:r>
    </w:p>
    <w:p w14:paraId="083236B8" w14:textId="559450FF" w:rsidR="00BF059A" w:rsidRPr="00BF059A" w:rsidRDefault="00BF059A" w:rsidP="00BF059A">
      <w:pPr>
        <w:tabs>
          <w:tab w:val="left" w:pos="341"/>
          <w:tab w:val="left" w:pos="5235"/>
        </w:tabs>
        <w:rPr>
          <w:rFonts w:hint="eastAsia"/>
          <w:b/>
          <w:bCs/>
          <w:color w:val="FF0000"/>
          <w:szCs w:val="21"/>
        </w:rPr>
      </w:pPr>
      <w:r w:rsidRPr="00BF059A">
        <w:rPr>
          <w:b/>
          <w:bCs/>
          <w:color w:val="FF0000"/>
          <w:szCs w:val="21"/>
        </w:rPr>
        <w:t>#348 in Self-Help for Eating Disorders &amp; Body Image Issues (Books)</w:t>
      </w:r>
    </w:p>
    <w:p w14:paraId="19807F5D" w14:textId="0BAFE159" w:rsidR="00BA277E" w:rsidRPr="00BF059A" w:rsidRDefault="00BA277E" w:rsidP="00882F94">
      <w:pPr>
        <w:rPr>
          <w:b/>
          <w:bCs/>
          <w:color w:val="FF0000"/>
          <w:szCs w:val="21"/>
        </w:rPr>
      </w:pPr>
    </w:p>
    <w:p w14:paraId="050B5BA1" w14:textId="77777777" w:rsidR="00D815BC" w:rsidRDefault="00D815BC"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5D3F94FB" w14:textId="6830C4FF" w:rsidR="006B1F90" w:rsidRPr="006B1F90" w:rsidRDefault="006B1F90" w:rsidP="006B1F90">
      <w:pPr>
        <w:pStyle w:val="ac"/>
        <w:numPr>
          <w:ilvl w:val="0"/>
          <w:numId w:val="44"/>
        </w:numPr>
        <w:ind w:firstLineChars="0"/>
        <w:rPr>
          <w:b/>
          <w:bCs/>
          <w:color w:val="000000"/>
          <w:szCs w:val="21"/>
        </w:rPr>
      </w:pPr>
      <w:r w:rsidRPr="006B1F90">
        <w:rPr>
          <w:b/>
          <w:bCs/>
          <w:color w:val="000000"/>
          <w:szCs w:val="21"/>
        </w:rPr>
        <w:t>收录家长真实经验，涵盖如何识别孩子</w:t>
      </w:r>
      <w:r w:rsidR="00F23AD3">
        <w:rPr>
          <w:rFonts w:hint="eastAsia"/>
          <w:b/>
          <w:bCs/>
          <w:color w:val="000000"/>
          <w:szCs w:val="21"/>
        </w:rPr>
        <w:t>逐渐显露</w:t>
      </w:r>
      <w:r w:rsidRPr="006B1F90">
        <w:rPr>
          <w:b/>
          <w:bCs/>
          <w:color w:val="000000"/>
          <w:szCs w:val="21"/>
        </w:rPr>
        <w:t>的进食问题、如何治疗，以及如何</w:t>
      </w:r>
      <w:r w:rsidRPr="006B1F90">
        <w:rPr>
          <w:rFonts w:hint="eastAsia"/>
          <w:b/>
          <w:bCs/>
          <w:color w:val="000000"/>
          <w:szCs w:val="21"/>
        </w:rPr>
        <w:t>康</w:t>
      </w:r>
      <w:r w:rsidRPr="006B1F90">
        <w:rPr>
          <w:b/>
          <w:bCs/>
          <w:color w:val="000000"/>
          <w:szCs w:val="21"/>
        </w:rPr>
        <w:t>复与</w:t>
      </w:r>
      <w:r w:rsidR="00F23AD3">
        <w:rPr>
          <w:rFonts w:hint="eastAsia"/>
          <w:b/>
          <w:bCs/>
          <w:color w:val="000000"/>
          <w:szCs w:val="21"/>
        </w:rPr>
        <w:t>预防</w:t>
      </w:r>
      <w:r w:rsidRPr="006B1F90">
        <w:rPr>
          <w:b/>
          <w:bCs/>
          <w:color w:val="000000"/>
          <w:szCs w:val="21"/>
        </w:rPr>
        <w:t>复发。</w:t>
      </w:r>
    </w:p>
    <w:p w14:paraId="6B43497B" w14:textId="77777777" w:rsidR="006B1F90" w:rsidRPr="006B1F90" w:rsidRDefault="006B1F90" w:rsidP="006B1F90">
      <w:pPr>
        <w:pStyle w:val="ac"/>
        <w:numPr>
          <w:ilvl w:val="0"/>
          <w:numId w:val="44"/>
        </w:numPr>
        <w:ind w:firstLineChars="0"/>
        <w:rPr>
          <w:b/>
          <w:bCs/>
          <w:color w:val="000000"/>
          <w:szCs w:val="21"/>
        </w:rPr>
      </w:pPr>
      <w:r w:rsidRPr="006B1F90">
        <w:rPr>
          <w:b/>
          <w:bCs/>
          <w:color w:val="000000"/>
          <w:szCs w:val="21"/>
        </w:rPr>
        <w:t>为其他家长提供情感支持与关键信息，并给出具有参考价值的实用建议。</w:t>
      </w:r>
    </w:p>
    <w:p w14:paraId="0F66EDE5" w14:textId="26D93F3D" w:rsidR="006B1F90" w:rsidRPr="006B1F90" w:rsidRDefault="006B1F90" w:rsidP="006B1F90">
      <w:pPr>
        <w:pStyle w:val="ac"/>
        <w:numPr>
          <w:ilvl w:val="0"/>
          <w:numId w:val="44"/>
        </w:numPr>
        <w:ind w:firstLineChars="0"/>
        <w:rPr>
          <w:b/>
          <w:bCs/>
          <w:color w:val="000000"/>
          <w:szCs w:val="21"/>
        </w:rPr>
      </w:pPr>
      <w:r w:rsidRPr="006B1F90">
        <w:rPr>
          <w:b/>
          <w:bCs/>
          <w:color w:val="000000"/>
          <w:szCs w:val="21"/>
        </w:rPr>
        <w:t>纳入较</w:t>
      </w:r>
      <w:r w:rsidR="00F23AD3">
        <w:rPr>
          <w:rFonts w:hint="eastAsia"/>
          <w:b/>
          <w:bCs/>
          <w:color w:val="000000"/>
          <w:szCs w:val="21"/>
        </w:rPr>
        <w:t>“</w:t>
      </w:r>
      <w:r w:rsidRPr="006B1F90">
        <w:rPr>
          <w:b/>
          <w:bCs/>
          <w:color w:val="000000"/>
          <w:szCs w:val="21"/>
        </w:rPr>
        <w:t>新近定义</w:t>
      </w:r>
      <w:r w:rsidR="00F23AD3">
        <w:rPr>
          <w:rFonts w:hint="eastAsia"/>
          <w:b/>
          <w:bCs/>
          <w:color w:val="000000"/>
          <w:szCs w:val="21"/>
        </w:rPr>
        <w:t>”</w:t>
      </w:r>
      <w:r w:rsidRPr="006B1F90">
        <w:rPr>
          <w:b/>
          <w:bCs/>
          <w:color w:val="000000"/>
          <w:szCs w:val="21"/>
        </w:rPr>
        <w:t>的进食问题的典型案例，包括暴食障碍（</w:t>
      </w:r>
      <w:r w:rsidRPr="006B1F90">
        <w:rPr>
          <w:b/>
          <w:bCs/>
          <w:color w:val="000000"/>
          <w:szCs w:val="21"/>
        </w:rPr>
        <w:t>binge-eating disorder</w:t>
      </w:r>
      <w:r w:rsidRPr="006B1F90">
        <w:rPr>
          <w:b/>
          <w:bCs/>
          <w:color w:val="000000"/>
          <w:szCs w:val="21"/>
        </w:rPr>
        <w:t>）和回避／限制性食物摄入障碍（</w:t>
      </w:r>
      <w:r w:rsidRPr="006B1F90">
        <w:rPr>
          <w:b/>
          <w:bCs/>
          <w:color w:val="000000"/>
          <w:szCs w:val="21"/>
        </w:rPr>
        <w:t>avoidant/restrictive food intake disorder</w:t>
      </w:r>
      <w:r w:rsidRPr="006B1F90">
        <w:rPr>
          <w:b/>
          <w:bCs/>
          <w:color w:val="000000"/>
          <w:szCs w:val="21"/>
        </w:rPr>
        <w:t>）。</w:t>
      </w:r>
    </w:p>
    <w:p w14:paraId="24BC36BA" w14:textId="77777777" w:rsidR="00FA6345" w:rsidRPr="006B1F90" w:rsidRDefault="00FA6345" w:rsidP="00882F94">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7EFB7677" w14:textId="2305C1DB" w:rsidR="00F23AD3" w:rsidRPr="00F23AD3" w:rsidRDefault="006B1F90" w:rsidP="006B1F90">
      <w:pPr>
        <w:ind w:firstLineChars="200" w:firstLine="422"/>
        <w:rPr>
          <w:b/>
          <w:color w:val="000000"/>
          <w:szCs w:val="21"/>
        </w:rPr>
      </w:pPr>
      <w:r w:rsidRPr="00F23AD3">
        <w:rPr>
          <w:rFonts w:hint="eastAsia"/>
          <w:b/>
          <w:color w:val="000000"/>
          <w:szCs w:val="21"/>
        </w:rPr>
        <w:t>《</w:t>
      </w:r>
      <w:r w:rsidR="00BF059A" w:rsidRPr="00BF059A">
        <w:rPr>
          <w:rFonts w:hint="eastAsia"/>
          <w:b/>
          <w:bCs/>
          <w:color w:val="000000"/>
          <w:szCs w:val="21"/>
        </w:rPr>
        <w:t>科学应对青少年进食障碍</w:t>
      </w:r>
      <w:r w:rsidRPr="00F23AD3">
        <w:rPr>
          <w:rFonts w:hint="eastAsia"/>
          <w:b/>
          <w:color w:val="000000"/>
          <w:szCs w:val="21"/>
        </w:rPr>
        <w:t>》是一部权威指南，帮助读者理解并支持患有神经性厌食症、神经性贪食症、暴食障碍、回避／限制性食物摄入障碍或其他进食障碍的青少年。</w:t>
      </w:r>
    </w:p>
    <w:p w14:paraId="6BD002D4" w14:textId="77777777" w:rsidR="00F23AD3" w:rsidRPr="00BF059A" w:rsidRDefault="00F23AD3" w:rsidP="006B1F90">
      <w:pPr>
        <w:ind w:firstLineChars="200" w:firstLine="420"/>
        <w:rPr>
          <w:bCs/>
          <w:color w:val="000000"/>
          <w:szCs w:val="21"/>
        </w:rPr>
      </w:pPr>
    </w:p>
    <w:p w14:paraId="7C42C39F" w14:textId="1B2DE377" w:rsidR="006B1F90" w:rsidRPr="006B1F90" w:rsidRDefault="006B1F90" w:rsidP="006B1F90">
      <w:pPr>
        <w:ind w:firstLineChars="200" w:firstLine="420"/>
        <w:rPr>
          <w:bCs/>
          <w:color w:val="000000"/>
          <w:szCs w:val="21"/>
        </w:rPr>
      </w:pPr>
      <w:r w:rsidRPr="006B1F90">
        <w:rPr>
          <w:rFonts w:hint="eastAsia"/>
          <w:bCs/>
          <w:color w:val="000000"/>
          <w:szCs w:val="21"/>
        </w:rPr>
        <w:t>本书主要写给那些孩子刚被诊断出进食障碍、或有发展风险的家长，同时也适用于教师、升学与心理辅导人员等经常接触高风险青少年的成年人。全书将最新科学进展</w:t>
      </w:r>
      <w:r w:rsidR="00F23AD3">
        <w:rPr>
          <w:rFonts w:hint="eastAsia"/>
          <w:bCs/>
          <w:color w:val="000000"/>
          <w:szCs w:val="21"/>
        </w:rPr>
        <w:t>，</w:t>
      </w:r>
      <w:r w:rsidRPr="006B1F90">
        <w:rPr>
          <w:rFonts w:hint="eastAsia"/>
          <w:bCs/>
          <w:color w:val="000000"/>
          <w:szCs w:val="21"/>
        </w:rPr>
        <w:t>包括最新治疗方法和关于进食障碍的前沿研究成果</w:t>
      </w:r>
      <w:r w:rsidR="00F23AD3">
        <w:rPr>
          <w:rFonts w:hint="eastAsia"/>
          <w:bCs/>
          <w:color w:val="000000"/>
          <w:szCs w:val="21"/>
        </w:rPr>
        <w:t>，</w:t>
      </w:r>
      <w:r w:rsidRPr="006B1F90">
        <w:rPr>
          <w:rFonts w:hint="eastAsia"/>
          <w:bCs/>
          <w:color w:val="000000"/>
          <w:szCs w:val="21"/>
        </w:rPr>
        <w:t>与有相关养育经验的家长在长期应对过程中的实践智慧结合起来。</w:t>
      </w:r>
    </w:p>
    <w:p w14:paraId="2857972F" w14:textId="77777777" w:rsidR="006B1F90" w:rsidRPr="006B1F90" w:rsidRDefault="006B1F90" w:rsidP="006B1F90">
      <w:pPr>
        <w:ind w:firstLineChars="200" w:firstLine="420"/>
        <w:rPr>
          <w:bCs/>
          <w:color w:val="000000"/>
          <w:szCs w:val="21"/>
        </w:rPr>
      </w:pPr>
    </w:p>
    <w:p w14:paraId="434FB99F" w14:textId="77777777" w:rsidR="006B1F90" w:rsidRPr="006B1F90" w:rsidRDefault="006B1F90" w:rsidP="006B1F90">
      <w:pPr>
        <w:ind w:firstLineChars="200" w:firstLine="420"/>
        <w:rPr>
          <w:bCs/>
          <w:color w:val="000000"/>
          <w:szCs w:val="21"/>
        </w:rPr>
      </w:pPr>
      <w:r w:rsidRPr="006B1F90">
        <w:rPr>
          <w:rFonts w:hint="eastAsia"/>
          <w:bCs/>
          <w:color w:val="000000"/>
          <w:szCs w:val="21"/>
        </w:rPr>
        <w:t xml:space="preserve">B. </w:t>
      </w:r>
      <w:r w:rsidRPr="006B1F90">
        <w:rPr>
          <w:rFonts w:hint="eastAsia"/>
          <w:bCs/>
          <w:color w:val="000000"/>
          <w:szCs w:val="21"/>
        </w:rPr>
        <w:t>蒂莫西·沃尔什（</w:t>
      </w:r>
      <w:r w:rsidRPr="006B1F90">
        <w:rPr>
          <w:rFonts w:hint="eastAsia"/>
          <w:bCs/>
          <w:color w:val="000000"/>
          <w:szCs w:val="21"/>
        </w:rPr>
        <w:t>B. Timothy Walsh</w:t>
      </w:r>
      <w:r w:rsidRPr="006B1F90">
        <w:rPr>
          <w:rFonts w:hint="eastAsia"/>
          <w:bCs/>
          <w:color w:val="000000"/>
          <w:szCs w:val="21"/>
        </w:rPr>
        <w:t>）和黛博拉·</w:t>
      </w:r>
      <w:r w:rsidRPr="006B1F90">
        <w:rPr>
          <w:rFonts w:hint="eastAsia"/>
          <w:bCs/>
          <w:color w:val="000000"/>
          <w:szCs w:val="21"/>
        </w:rPr>
        <w:t xml:space="preserve">R. </w:t>
      </w:r>
      <w:r w:rsidRPr="006B1F90">
        <w:rPr>
          <w:rFonts w:hint="eastAsia"/>
          <w:bCs/>
          <w:color w:val="000000"/>
          <w:szCs w:val="21"/>
        </w:rPr>
        <w:t>格拉索弗（</w:t>
      </w:r>
      <w:r w:rsidRPr="006B1F90">
        <w:rPr>
          <w:rFonts w:hint="eastAsia"/>
          <w:bCs/>
          <w:color w:val="000000"/>
          <w:szCs w:val="21"/>
        </w:rPr>
        <w:t xml:space="preserve">Deborah R. </w:t>
      </w:r>
      <w:proofErr w:type="spellStart"/>
      <w:r w:rsidRPr="006B1F90">
        <w:rPr>
          <w:rFonts w:hint="eastAsia"/>
          <w:bCs/>
          <w:color w:val="000000"/>
          <w:szCs w:val="21"/>
        </w:rPr>
        <w:t>Glasofer</w:t>
      </w:r>
      <w:proofErr w:type="spellEnd"/>
      <w:r w:rsidRPr="006B1F90">
        <w:rPr>
          <w:rFonts w:hint="eastAsia"/>
          <w:bCs/>
          <w:color w:val="000000"/>
          <w:szCs w:val="21"/>
        </w:rPr>
        <w:t>）两位博士以清晰易懂的方式，详细解释了什么是进食障碍，并介绍其主要特征、表现和症状。他们还具体说明了：当你怀疑孩子可能存在问题时，应如何正确寻求帮助；何时接受治疗、到</w:t>
      </w:r>
      <w:r w:rsidRPr="006B1F90">
        <w:rPr>
          <w:rFonts w:hint="eastAsia"/>
          <w:bCs/>
          <w:color w:val="000000"/>
          <w:szCs w:val="21"/>
        </w:rPr>
        <w:lastRenderedPageBreak/>
        <w:t>哪里接受治疗；以及如何应对医疗体系中的各种现实问题。书中同时提供了孩子确诊后在家庭和学校日常生活中的应对建议，并指导家长如何就进食障碍相关问题与孩子及其兄弟姐妹进行沟通。</w:t>
      </w:r>
    </w:p>
    <w:p w14:paraId="6490D08B" w14:textId="77777777" w:rsidR="006B1F90" w:rsidRPr="006B1F90" w:rsidRDefault="006B1F90" w:rsidP="006B1F90">
      <w:pPr>
        <w:ind w:firstLineChars="200" w:firstLine="420"/>
        <w:rPr>
          <w:bCs/>
          <w:color w:val="000000"/>
          <w:szCs w:val="21"/>
        </w:rPr>
      </w:pPr>
    </w:p>
    <w:p w14:paraId="66F6CCCF" w14:textId="229D3EC9" w:rsidR="005A4D6A" w:rsidRDefault="006B1F90" w:rsidP="006B1F90">
      <w:pPr>
        <w:ind w:firstLineChars="200" w:firstLine="420"/>
        <w:rPr>
          <w:bCs/>
          <w:color w:val="000000"/>
          <w:szCs w:val="21"/>
        </w:rPr>
      </w:pPr>
      <w:r w:rsidRPr="006B1F90">
        <w:rPr>
          <w:rFonts w:hint="eastAsia"/>
          <w:bCs/>
          <w:color w:val="000000"/>
          <w:szCs w:val="21"/>
        </w:rPr>
        <w:t>本书还列出了需要警惕的危险信号，提醒读者拖延不处理可能带来的严重后果，并附有完整的延伸资源清单，帮助家长和其他相关成年人在问题发展到危及生命之前，更有效地面对和处理青少年进食障碍。</w:t>
      </w:r>
    </w:p>
    <w:p w14:paraId="318D2F48" w14:textId="77777777" w:rsidR="00C81704" w:rsidRDefault="00C81704" w:rsidP="00882F94">
      <w:pPr>
        <w:rPr>
          <w:bCs/>
          <w:color w:val="000000"/>
          <w:szCs w:val="21"/>
        </w:rPr>
      </w:pPr>
    </w:p>
    <w:p w14:paraId="1457FA0C" w14:textId="77777777" w:rsidR="00F23AD3" w:rsidRDefault="00F23AD3"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7F71DCC5" w14:textId="057CB39B" w:rsidR="006B1F90" w:rsidRPr="006B1F90" w:rsidRDefault="0040435C" w:rsidP="006B1F90">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4E2F712B" w14:textId="5ECBBB56" w:rsidR="006B1F90" w:rsidRPr="006B1F90" w:rsidRDefault="006B1F90" w:rsidP="006B1F90">
      <w:pPr>
        <w:ind w:firstLineChars="200" w:firstLine="422"/>
        <w:rPr>
          <w:b/>
          <w:bCs/>
          <w:noProof/>
        </w:rPr>
      </w:pPr>
      <w:r w:rsidRPr="006B1F90">
        <w:rPr>
          <w:rFonts w:hint="eastAsia"/>
          <w:b/>
          <w:bCs/>
          <w:noProof/>
        </w:rPr>
        <w:t xml:space="preserve">B. </w:t>
      </w:r>
      <w:r w:rsidRPr="006B1F90">
        <w:rPr>
          <w:rFonts w:hint="eastAsia"/>
          <w:b/>
          <w:bCs/>
          <w:noProof/>
        </w:rPr>
        <w:t>蒂莫西·沃尔什（</w:t>
      </w:r>
      <w:r w:rsidRPr="006B1F90">
        <w:rPr>
          <w:rFonts w:hint="eastAsia"/>
          <w:b/>
          <w:bCs/>
          <w:noProof/>
        </w:rPr>
        <w:t>B. Timothy Walsh, MD</w:t>
      </w:r>
      <w:r w:rsidRPr="006B1F90">
        <w:rPr>
          <w:rFonts w:hint="eastAsia"/>
          <w:b/>
          <w:bCs/>
          <w:noProof/>
        </w:rPr>
        <w:t>）</w:t>
      </w:r>
      <w:r w:rsidRPr="006B1F90">
        <w:rPr>
          <w:rFonts w:hint="eastAsia"/>
          <w:noProof/>
        </w:rPr>
        <w:t>毕业于普林斯顿大学和哈佛医学院，并在哥伦比亚大学瓦格洛斯内外科医学院精神病学系任教四十余年。他的研究重点主要集中于进食障碍。职业生涯中，他已发表两百余篇论文，并多次获得美国国立卫生研究院资助。他曾担任国际上两大主要进食障碍学会主席，并曾分别主持《精神障碍诊断与统计手册》第四版和第五版（</w:t>
      </w:r>
      <w:r w:rsidRPr="006B1F90">
        <w:rPr>
          <w:rFonts w:hint="eastAsia"/>
          <w:noProof/>
        </w:rPr>
        <w:t>DSM-IV</w:t>
      </w:r>
      <w:r w:rsidRPr="006B1F90">
        <w:rPr>
          <w:rFonts w:hint="eastAsia"/>
          <w:noProof/>
        </w:rPr>
        <w:t>、</w:t>
      </w:r>
      <w:r w:rsidRPr="006B1F90">
        <w:rPr>
          <w:rFonts w:hint="eastAsia"/>
          <w:noProof/>
        </w:rPr>
        <w:t>DSM-5</w:t>
      </w:r>
      <w:r w:rsidRPr="006B1F90">
        <w:rPr>
          <w:rFonts w:hint="eastAsia"/>
          <w:noProof/>
        </w:rPr>
        <w:t>）中的进食障碍工作组。他还曾获得美国精神病学学会、进食障碍学会、美国国家进食障碍协会以及行为与认知治疗协会颁发的多项奖项。</w:t>
      </w:r>
    </w:p>
    <w:p w14:paraId="0D15655A" w14:textId="77777777" w:rsidR="006B1F90" w:rsidRPr="006B1F90" w:rsidRDefault="006B1F90" w:rsidP="006B1F90">
      <w:pPr>
        <w:ind w:firstLineChars="200" w:firstLine="422"/>
        <w:rPr>
          <w:b/>
          <w:bCs/>
          <w:noProof/>
        </w:rPr>
      </w:pPr>
    </w:p>
    <w:p w14:paraId="068AF382" w14:textId="53A71E2D" w:rsidR="00DD01FE" w:rsidRPr="000F7F44" w:rsidRDefault="006B1F90" w:rsidP="006B1F90">
      <w:pPr>
        <w:ind w:firstLineChars="200" w:firstLine="422"/>
      </w:pPr>
      <w:r w:rsidRPr="006B1F90">
        <w:rPr>
          <w:rFonts w:hint="eastAsia"/>
          <w:b/>
          <w:bCs/>
          <w:noProof/>
        </w:rPr>
        <w:t>黛博拉·</w:t>
      </w:r>
      <w:r w:rsidRPr="006B1F90">
        <w:rPr>
          <w:rFonts w:hint="eastAsia"/>
          <w:b/>
          <w:bCs/>
          <w:noProof/>
        </w:rPr>
        <w:t xml:space="preserve">R. </w:t>
      </w:r>
      <w:r w:rsidRPr="006B1F90">
        <w:rPr>
          <w:rFonts w:hint="eastAsia"/>
          <w:b/>
          <w:bCs/>
          <w:noProof/>
        </w:rPr>
        <w:t>格拉索弗（</w:t>
      </w:r>
      <w:r w:rsidRPr="006B1F90">
        <w:rPr>
          <w:rFonts w:hint="eastAsia"/>
          <w:b/>
          <w:bCs/>
          <w:noProof/>
        </w:rPr>
        <w:t>Deborah R. Glasofer, PhD</w:t>
      </w:r>
      <w:r w:rsidRPr="006B1F90">
        <w:rPr>
          <w:rFonts w:hint="eastAsia"/>
          <w:b/>
          <w:bCs/>
          <w:noProof/>
        </w:rPr>
        <w:t>）</w:t>
      </w:r>
      <w:r w:rsidRPr="006B1F90">
        <w:rPr>
          <w:rFonts w:hint="eastAsia"/>
          <w:noProof/>
        </w:rPr>
        <w:t>现任哥伦比亚大学瓦格洛斯内外科医学院临床医学心理学副教授（精神病学方向），同时担任纽约州精神病学研究所哥伦比亚进食障碍中心临床心理学家。她从事进食障碍相关研究，并负责为精神科住院医师、博士后研究员及其他受训人员教授和督导认知行为治疗，涵盖情绪障碍、焦虑障碍和进食障碍等领域。她曾担任《进食障碍评估与治疗手册》编辑之一，并合著《每个人都需要了解的：进食障碍》。她还曾为《科学美国人·心智》、《今日心理学》、《赫芬顿邮报》、</w:t>
      </w:r>
      <w:r w:rsidRPr="00F23AD3">
        <w:rPr>
          <w:rFonts w:hint="eastAsia"/>
          <w:i/>
          <w:iCs/>
          <w:noProof/>
        </w:rPr>
        <w:t>Verywell</w:t>
      </w:r>
      <w:r w:rsidRPr="006B1F90">
        <w:rPr>
          <w:rFonts w:hint="eastAsia"/>
          <w:noProof/>
        </w:rPr>
        <w:t>和</w:t>
      </w:r>
      <w:r w:rsidR="00F23AD3" w:rsidRPr="00F23AD3">
        <w:rPr>
          <w:rFonts w:hint="eastAsia"/>
          <w:i/>
          <w:iCs/>
          <w:noProof/>
        </w:rPr>
        <w:t>T</w:t>
      </w:r>
      <w:r w:rsidRPr="00F23AD3">
        <w:rPr>
          <w:rFonts w:hint="eastAsia"/>
          <w:i/>
          <w:iCs/>
          <w:noProof/>
        </w:rPr>
        <w:t>he Feed</w:t>
      </w:r>
      <w:r w:rsidRPr="006B1F90">
        <w:rPr>
          <w:rFonts w:hint="eastAsia"/>
          <w:noProof/>
        </w:rPr>
        <w:t>等媒体撰稿。</w:t>
      </w:r>
    </w:p>
    <w:p w14:paraId="1053EE94" w14:textId="77777777" w:rsidR="003C4C2E" w:rsidRDefault="003C4C2E" w:rsidP="00882F94">
      <w:pPr>
        <w:shd w:val="clear" w:color="auto" w:fill="FFFFFF"/>
        <w:rPr>
          <w:bCs/>
          <w:color w:val="000000"/>
          <w:szCs w:val="21"/>
        </w:rPr>
      </w:pPr>
      <w:bookmarkStart w:id="0" w:name="OLE_LINK38"/>
      <w:bookmarkStart w:id="1" w:name="OLE_LINK43"/>
    </w:p>
    <w:p w14:paraId="36605D8C" w14:textId="77777777" w:rsidR="00F23AD3" w:rsidRDefault="00F23AD3" w:rsidP="00882F94">
      <w:pPr>
        <w:shd w:val="clear" w:color="auto" w:fill="FFFFFF"/>
        <w:rPr>
          <w:bCs/>
          <w:color w:val="000000"/>
          <w:szCs w:val="21"/>
        </w:rPr>
      </w:pPr>
    </w:p>
    <w:p w14:paraId="58663447" w14:textId="77777777" w:rsidR="0039755A" w:rsidRDefault="0039755A" w:rsidP="00882F94">
      <w:pPr>
        <w:shd w:val="clear" w:color="auto" w:fill="FFFFFF"/>
        <w:rPr>
          <w:b/>
          <w:color w:val="000000"/>
          <w:szCs w:val="21"/>
        </w:rPr>
      </w:pPr>
      <w:r w:rsidRPr="004230C5">
        <w:rPr>
          <w:rFonts w:hint="eastAsia"/>
          <w:b/>
          <w:color w:val="000000"/>
          <w:szCs w:val="21"/>
        </w:rPr>
        <w:t>媒体评价：</w:t>
      </w:r>
    </w:p>
    <w:p w14:paraId="63F070EA" w14:textId="77777777" w:rsidR="0039755A" w:rsidRDefault="0039755A" w:rsidP="00882F94">
      <w:pPr>
        <w:shd w:val="clear" w:color="auto" w:fill="FFFFFF"/>
        <w:rPr>
          <w:b/>
          <w:color w:val="000000"/>
          <w:szCs w:val="21"/>
        </w:rPr>
      </w:pPr>
    </w:p>
    <w:p w14:paraId="1116134C" w14:textId="6F9D3D41" w:rsidR="006B1F90" w:rsidRPr="006B1F90" w:rsidRDefault="006B1F90" w:rsidP="006B1F90">
      <w:pPr>
        <w:shd w:val="clear" w:color="auto" w:fill="FFFFFF"/>
        <w:ind w:firstLineChars="200" w:firstLine="420"/>
        <w:jc w:val="left"/>
        <w:rPr>
          <w:bCs/>
          <w:color w:val="000000"/>
          <w:szCs w:val="21"/>
        </w:rPr>
      </w:pPr>
      <w:r w:rsidRPr="006B1F90">
        <w:rPr>
          <w:rFonts w:hint="eastAsia"/>
          <w:bCs/>
          <w:color w:val="000000"/>
          <w:szCs w:val="21"/>
        </w:rPr>
        <w:t>“对于担心孩子可能患有进食障碍的青少年及青年家长而言，这是一部极为出色的入门指南。书中以务实、准确的方式介绍了进食障碍的相关知识、如何</w:t>
      </w:r>
      <w:r w:rsidR="00F23AD3">
        <w:rPr>
          <w:rFonts w:hint="eastAsia"/>
          <w:bCs/>
          <w:color w:val="000000"/>
          <w:szCs w:val="21"/>
        </w:rPr>
        <w:t>帮助</w:t>
      </w:r>
      <w:r w:rsidRPr="006B1F90">
        <w:rPr>
          <w:rFonts w:hint="eastAsia"/>
          <w:bCs/>
          <w:color w:val="000000"/>
          <w:szCs w:val="21"/>
        </w:rPr>
        <w:t>孩子获得治疗，以及在求助过程中可能会遇到</w:t>
      </w:r>
      <w:r w:rsidR="00F23AD3">
        <w:rPr>
          <w:rFonts w:hint="eastAsia"/>
          <w:bCs/>
          <w:color w:val="000000"/>
          <w:szCs w:val="21"/>
        </w:rPr>
        <w:t>的</w:t>
      </w:r>
      <w:r w:rsidRPr="006B1F90">
        <w:rPr>
          <w:rFonts w:hint="eastAsia"/>
          <w:bCs/>
          <w:color w:val="000000"/>
          <w:szCs w:val="21"/>
        </w:rPr>
        <w:t>情况。”</w:t>
      </w:r>
    </w:p>
    <w:p w14:paraId="16EF171D" w14:textId="00839C5C" w:rsidR="006B1F90" w:rsidRPr="006B1F90" w:rsidRDefault="006B1F90" w:rsidP="006B1F90">
      <w:pPr>
        <w:shd w:val="clear" w:color="auto" w:fill="FFFFFF"/>
        <w:ind w:firstLineChars="200" w:firstLine="420"/>
        <w:jc w:val="right"/>
        <w:rPr>
          <w:bCs/>
          <w:color w:val="000000"/>
          <w:szCs w:val="21"/>
        </w:rPr>
      </w:pPr>
      <w:r w:rsidRPr="006B1F90">
        <w:rPr>
          <w:rFonts w:hint="eastAsia"/>
          <w:bCs/>
          <w:color w:val="000000"/>
          <w:szCs w:val="21"/>
        </w:rPr>
        <w:t>——安吉拉·瓜尔达（</w:t>
      </w:r>
      <w:r w:rsidRPr="006B1F90">
        <w:rPr>
          <w:rFonts w:hint="eastAsia"/>
          <w:bCs/>
          <w:color w:val="000000"/>
          <w:szCs w:val="21"/>
        </w:rPr>
        <w:t>Angela Guarda, MD</w:t>
      </w:r>
      <w:r w:rsidRPr="006B1F90">
        <w:rPr>
          <w:rFonts w:hint="eastAsia"/>
          <w:bCs/>
          <w:color w:val="000000"/>
          <w:szCs w:val="21"/>
        </w:rPr>
        <w:t>），约翰斯·霍普金斯大学医学院精神病学与行为科学副教授</w:t>
      </w:r>
    </w:p>
    <w:p w14:paraId="6D567877" w14:textId="77777777" w:rsidR="006B1F90" w:rsidRPr="006B1F90" w:rsidRDefault="006B1F90" w:rsidP="006B1F90">
      <w:pPr>
        <w:shd w:val="clear" w:color="auto" w:fill="FFFFFF"/>
        <w:ind w:firstLineChars="200" w:firstLine="420"/>
        <w:jc w:val="right"/>
        <w:rPr>
          <w:bCs/>
          <w:color w:val="000000"/>
          <w:szCs w:val="21"/>
        </w:rPr>
      </w:pPr>
    </w:p>
    <w:p w14:paraId="295871A1" w14:textId="7D312417" w:rsidR="006B1F90" w:rsidRPr="006B1F90" w:rsidRDefault="006B1F90" w:rsidP="006B1F90">
      <w:pPr>
        <w:shd w:val="clear" w:color="auto" w:fill="FFFFFF"/>
        <w:ind w:firstLineChars="200" w:firstLine="420"/>
        <w:jc w:val="left"/>
        <w:rPr>
          <w:bCs/>
          <w:color w:val="000000"/>
          <w:szCs w:val="21"/>
        </w:rPr>
      </w:pPr>
      <w:r w:rsidRPr="006B1F90">
        <w:rPr>
          <w:rFonts w:hint="eastAsia"/>
          <w:bCs/>
          <w:color w:val="000000"/>
          <w:szCs w:val="21"/>
        </w:rPr>
        <w:t>“沃尔什和</w:t>
      </w:r>
      <w:proofErr w:type="gramStart"/>
      <w:r w:rsidRPr="006B1F90">
        <w:rPr>
          <w:rFonts w:hint="eastAsia"/>
          <w:bCs/>
          <w:color w:val="000000"/>
          <w:szCs w:val="21"/>
        </w:rPr>
        <w:t>格拉索弗</w:t>
      </w:r>
      <w:proofErr w:type="gramEnd"/>
      <w:r w:rsidRPr="006B1F90">
        <w:rPr>
          <w:rFonts w:hint="eastAsia"/>
          <w:bCs/>
          <w:color w:val="000000"/>
          <w:szCs w:val="21"/>
        </w:rPr>
        <w:t>数十年来始终处于进食障碍治疗与研究的前沿。这两位作者具备无可比拟的优势，能够就进食障碍患者本人，或照顾患病亲友的人所应了解的一切，提供内容广泛且信息丰富的权威读本。”</w:t>
      </w:r>
    </w:p>
    <w:p w14:paraId="410C05D4" w14:textId="7E43D6EE" w:rsidR="006B1F90" w:rsidRPr="006B1F90" w:rsidRDefault="006B1F90" w:rsidP="006B1F90">
      <w:pPr>
        <w:shd w:val="clear" w:color="auto" w:fill="FFFFFF"/>
        <w:ind w:firstLineChars="200" w:firstLine="420"/>
        <w:jc w:val="right"/>
        <w:rPr>
          <w:bCs/>
          <w:color w:val="000000"/>
          <w:szCs w:val="21"/>
        </w:rPr>
      </w:pPr>
      <w:r w:rsidRPr="006B1F90">
        <w:rPr>
          <w:rFonts w:hint="eastAsia"/>
          <w:bCs/>
          <w:color w:val="000000"/>
          <w:szCs w:val="21"/>
        </w:rPr>
        <w:t>——丹尼尔·勒格</w:t>
      </w:r>
      <w:bookmarkStart w:id="2" w:name="_GoBack"/>
      <w:bookmarkEnd w:id="2"/>
      <w:r w:rsidRPr="006B1F90">
        <w:rPr>
          <w:rFonts w:hint="eastAsia"/>
          <w:bCs/>
          <w:color w:val="000000"/>
          <w:szCs w:val="21"/>
        </w:rPr>
        <w:t>朗日（</w:t>
      </w:r>
      <w:r w:rsidRPr="006B1F90">
        <w:rPr>
          <w:rFonts w:hint="eastAsia"/>
          <w:bCs/>
          <w:color w:val="000000"/>
          <w:szCs w:val="21"/>
        </w:rPr>
        <w:t>Daniel Le Grange, PhD</w:t>
      </w:r>
      <w:r w:rsidRPr="006B1F90">
        <w:rPr>
          <w:rFonts w:hint="eastAsia"/>
          <w:bCs/>
          <w:color w:val="000000"/>
          <w:szCs w:val="21"/>
        </w:rPr>
        <w:t>），加州大学旧金山分校（</w:t>
      </w:r>
      <w:r w:rsidRPr="006B1F90">
        <w:rPr>
          <w:rFonts w:hint="eastAsia"/>
          <w:bCs/>
          <w:color w:val="000000"/>
          <w:szCs w:val="21"/>
        </w:rPr>
        <w:t>UCSF</w:t>
      </w:r>
      <w:r w:rsidRPr="006B1F90">
        <w:rPr>
          <w:rFonts w:hint="eastAsia"/>
          <w:bCs/>
          <w:color w:val="000000"/>
          <w:szCs w:val="21"/>
        </w:rPr>
        <w:t>）精神病学系儿童健康讲席教授、芝加哥大学精神病学与行为神经科学荣休教授</w:t>
      </w:r>
    </w:p>
    <w:p w14:paraId="054875C7" w14:textId="77777777" w:rsidR="006B1F90" w:rsidRPr="006B1F90" w:rsidRDefault="006B1F90" w:rsidP="006B1F90">
      <w:pPr>
        <w:shd w:val="clear" w:color="auto" w:fill="FFFFFF"/>
        <w:ind w:firstLineChars="200" w:firstLine="420"/>
        <w:jc w:val="right"/>
        <w:rPr>
          <w:bCs/>
          <w:color w:val="000000"/>
          <w:szCs w:val="21"/>
        </w:rPr>
      </w:pPr>
    </w:p>
    <w:p w14:paraId="47DB0C03" w14:textId="7EDF7BA0" w:rsidR="006B1F90" w:rsidRPr="006B1F90" w:rsidRDefault="006B1F90" w:rsidP="006B1F90">
      <w:pPr>
        <w:shd w:val="clear" w:color="auto" w:fill="FFFFFF"/>
        <w:ind w:firstLineChars="200" w:firstLine="420"/>
        <w:jc w:val="left"/>
        <w:rPr>
          <w:bCs/>
          <w:color w:val="000000"/>
          <w:szCs w:val="21"/>
        </w:rPr>
      </w:pPr>
      <w:r w:rsidRPr="006B1F90">
        <w:rPr>
          <w:rFonts w:hint="eastAsia"/>
          <w:bCs/>
          <w:color w:val="000000"/>
          <w:szCs w:val="21"/>
        </w:rPr>
        <w:t>“这本书由进食障碍领域的权威专家撰写，是</w:t>
      </w:r>
      <w:r w:rsidR="00F23AD3" w:rsidRPr="006B1F90">
        <w:rPr>
          <w:rFonts w:hint="eastAsia"/>
          <w:bCs/>
          <w:color w:val="000000"/>
          <w:szCs w:val="21"/>
        </w:rPr>
        <w:t>患进食障碍的</w:t>
      </w:r>
      <w:r w:rsidRPr="006B1F90">
        <w:rPr>
          <w:rFonts w:hint="eastAsia"/>
          <w:bCs/>
          <w:color w:val="000000"/>
          <w:szCs w:val="21"/>
        </w:rPr>
        <w:t>青少年孩子家长的重要参考</w:t>
      </w:r>
      <w:r w:rsidRPr="006B1F90">
        <w:rPr>
          <w:rFonts w:hint="eastAsia"/>
          <w:bCs/>
          <w:color w:val="000000"/>
          <w:szCs w:val="21"/>
        </w:rPr>
        <w:lastRenderedPageBreak/>
        <w:t>资源。书中通过个人经历片段与案例研究，以通俗易读的方式提供了科学准确的信息。”</w:t>
      </w:r>
    </w:p>
    <w:p w14:paraId="1A32A0E6" w14:textId="55E7C1E1" w:rsidR="0039755A" w:rsidRPr="006B1F90" w:rsidRDefault="006B1F90" w:rsidP="006B1F90">
      <w:pPr>
        <w:shd w:val="clear" w:color="auto" w:fill="FFFFFF"/>
        <w:ind w:firstLineChars="200" w:firstLine="420"/>
        <w:jc w:val="right"/>
        <w:rPr>
          <w:bCs/>
          <w:color w:val="000000"/>
          <w:szCs w:val="21"/>
        </w:rPr>
      </w:pPr>
      <w:r w:rsidRPr="006B1F90">
        <w:rPr>
          <w:rFonts w:hint="eastAsia"/>
          <w:bCs/>
          <w:color w:val="000000"/>
          <w:szCs w:val="21"/>
        </w:rPr>
        <w:t>——内维尔·</w:t>
      </w:r>
      <w:r w:rsidRPr="006B1F90">
        <w:rPr>
          <w:rFonts w:hint="eastAsia"/>
          <w:bCs/>
          <w:color w:val="000000"/>
          <w:szCs w:val="21"/>
        </w:rPr>
        <w:t xml:space="preserve">H. </w:t>
      </w:r>
      <w:r w:rsidRPr="006B1F90">
        <w:rPr>
          <w:rFonts w:hint="eastAsia"/>
          <w:bCs/>
          <w:color w:val="000000"/>
          <w:szCs w:val="21"/>
        </w:rPr>
        <w:t>戈尔登（</w:t>
      </w:r>
      <w:r w:rsidRPr="006B1F90">
        <w:rPr>
          <w:rFonts w:hint="eastAsia"/>
          <w:bCs/>
          <w:color w:val="000000"/>
          <w:szCs w:val="21"/>
        </w:rPr>
        <w:t>Neville H. Golden, MD</w:t>
      </w:r>
      <w:r w:rsidRPr="006B1F90">
        <w:rPr>
          <w:rFonts w:hint="eastAsia"/>
          <w:bCs/>
          <w:color w:val="000000"/>
          <w:szCs w:val="21"/>
        </w:rPr>
        <w:t>），斯坦福大学医学院青少年医学部主任、儿科学讲席教授</w:t>
      </w:r>
    </w:p>
    <w:p w14:paraId="23535094" w14:textId="77777777" w:rsidR="0039755A" w:rsidRPr="004230C5" w:rsidRDefault="0039755A" w:rsidP="00882F94">
      <w:pPr>
        <w:shd w:val="clear" w:color="auto" w:fill="FFFFFF"/>
        <w:ind w:firstLineChars="200" w:firstLine="422"/>
        <w:rPr>
          <w:b/>
          <w:color w:val="000000"/>
          <w:szCs w:val="21"/>
        </w:rPr>
      </w:pPr>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5DF9DDBD" w14:textId="77777777" w:rsidR="006B1F90" w:rsidRPr="006B1F90" w:rsidRDefault="006B1F90" w:rsidP="006B1F90">
      <w:pPr>
        <w:shd w:val="clear" w:color="auto" w:fill="FFFFFF"/>
        <w:rPr>
          <w:bCs/>
          <w:color w:val="000000"/>
          <w:szCs w:val="21"/>
        </w:rPr>
      </w:pPr>
    </w:p>
    <w:p w14:paraId="3A1CBF5D" w14:textId="3705CA14" w:rsidR="006B1F90" w:rsidRPr="006B1F90" w:rsidRDefault="006B1F90" w:rsidP="00F23AD3">
      <w:pPr>
        <w:shd w:val="clear" w:color="auto" w:fill="FFFFFF"/>
        <w:jc w:val="center"/>
        <w:rPr>
          <w:bCs/>
          <w:color w:val="000000"/>
          <w:szCs w:val="21"/>
        </w:rPr>
      </w:pPr>
      <w:r w:rsidRPr="006B1F90">
        <w:rPr>
          <w:rFonts w:hint="eastAsia"/>
          <w:bCs/>
          <w:color w:val="000000"/>
          <w:szCs w:val="21"/>
        </w:rPr>
        <w:t>第一章</w:t>
      </w:r>
      <w:r w:rsidRPr="006B1F90">
        <w:rPr>
          <w:rFonts w:hint="eastAsia"/>
          <w:bCs/>
          <w:color w:val="000000"/>
          <w:szCs w:val="21"/>
        </w:rPr>
        <w:t xml:space="preserve"> </w:t>
      </w:r>
      <w:r w:rsidRPr="006B1F90">
        <w:rPr>
          <w:rFonts w:hint="eastAsia"/>
          <w:bCs/>
          <w:color w:val="000000"/>
          <w:szCs w:val="21"/>
        </w:rPr>
        <w:t>引言：这不仅仅是节食</w:t>
      </w:r>
    </w:p>
    <w:p w14:paraId="4553E9F0" w14:textId="03F07590" w:rsidR="006B1F90" w:rsidRPr="006B1F90" w:rsidRDefault="006B1F90" w:rsidP="00F23AD3">
      <w:pPr>
        <w:shd w:val="clear" w:color="auto" w:fill="FFFFFF"/>
        <w:jc w:val="center"/>
        <w:rPr>
          <w:bCs/>
          <w:color w:val="000000"/>
          <w:szCs w:val="21"/>
        </w:rPr>
      </w:pPr>
      <w:r w:rsidRPr="006B1F90">
        <w:rPr>
          <w:rFonts w:hint="eastAsia"/>
          <w:bCs/>
          <w:color w:val="000000"/>
          <w:szCs w:val="21"/>
        </w:rPr>
        <w:t>第二章</w:t>
      </w:r>
      <w:r w:rsidRPr="006B1F90">
        <w:rPr>
          <w:rFonts w:hint="eastAsia"/>
          <w:bCs/>
          <w:color w:val="000000"/>
          <w:szCs w:val="21"/>
        </w:rPr>
        <w:t xml:space="preserve"> </w:t>
      </w:r>
      <w:r w:rsidRPr="006B1F90">
        <w:rPr>
          <w:rFonts w:hint="eastAsia"/>
          <w:bCs/>
          <w:color w:val="000000"/>
          <w:szCs w:val="21"/>
        </w:rPr>
        <w:t>理解进食障碍：它是什么，</w:t>
      </w:r>
      <w:r w:rsidR="00F23AD3">
        <w:rPr>
          <w:rFonts w:hint="eastAsia"/>
          <w:bCs/>
          <w:color w:val="000000"/>
          <w:szCs w:val="21"/>
        </w:rPr>
        <w:t>会带来什么</w:t>
      </w:r>
    </w:p>
    <w:p w14:paraId="75B66531" w14:textId="5B84761F" w:rsidR="006B1F90" w:rsidRPr="006B1F90" w:rsidRDefault="006B1F90" w:rsidP="00F23AD3">
      <w:pPr>
        <w:shd w:val="clear" w:color="auto" w:fill="FFFFFF"/>
        <w:jc w:val="center"/>
        <w:rPr>
          <w:bCs/>
          <w:color w:val="000000"/>
          <w:szCs w:val="21"/>
        </w:rPr>
      </w:pPr>
      <w:r w:rsidRPr="006B1F90">
        <w:rPr>
          <w:rFonts w:hint="eastAsia"/>
          <w:bCs/>
          <w:color w:val="000000"/>
          <w:szCs w:val="21"/>
        </w:rPr>
        <w:t>第三章</w:t>
      </w:r>
      <w:r w:rsidRPr="006B1F90">
        <w:rPr>
          <w:rFonts w:hint="eastAsia"/>
          <w:bCs/>
          <w:color w:val="000000"/>
          <w:szCs w:val="21"/>
        </w:rPr>
        <w:t xml:space="preserve"> </w:t>
      </w:r>
      <w:r w:rsidR="00F23AD3">
        <w:rPr>
          <w:rFonts w:hint="eastAsia"/>
          <w:bCs/>
          <w:color w:val="000000"/>
          <w:szCs w:val="21"/>
        </w:rPr>
        <w:t>帮</w:t>
      </w:r>
      <w:r w:rsidRPr="006B1F90">
        <w:rPr>
          <w:rFonts w:hint="eastAsia"/>
          <w:bCs/>
          <w:color w:val="000000"/>
          <w:szCs w:val="21"/>
        </w:rPr>
        <w:t>孩子获得合适的治疗：心理治疗、药物及其他方式</w:t>
      </w:r>
    </w:p>
    <w:p w14:paraId="6583C5E7" w14:textId="03B4795A" w:rsidR="006B1F90" w:rsidRPr="006B1F90" w:rsidRDefault="006B1F90" w:rsidP="00F23AD3">
      <w:pPr>
        <w:shd w:val="clear" w:color="auto" w:fill="FFFFFF"/>
        <w:jc w:val="center"/>
        <w:rPr>
          <w:bCs/>
          <w:color w:val="000000"/>
          <w:szCs w:val="21"/>
        </w:rPr>
      </w:pPr>
      <w:r w:rsidRPr="006B1F90">
        <w:rPr>
          <w:rFonts w:hint="eastAsia"/>
          <w:bCs/>
          <w:color w:val="000000"/>
          <w:szCs w:val="21"/>
        </w:rPr>
        <w:t>第四章</w:t>
      </w:r>
      <w:r w:rsidRPr="006B1F90">
        <w:rPr>
          <w:rFonts w:hint="eastAsia"/>
          <w:bCs/>
          <w:color w:val="000000"/>
          <w:szCs w:val="21"/>
        </w:rPr>
        <w:t xml:space="preserve"> </w:t>
      </w:r>
      <w:r w:rsidRPr="006B1F90">
        <w:rPr>
          <w:rFonts w:hint="eastAsia"/>
          <w:bCs/>
          <w:color w:val="000000"/>
          <w:szCs w:val="21"/>
        </w:rPr>
        <w:t>与患有进食障碍的青少年共同生活的日常</w:t>
      </w:r>
    </w:p>
    <w:p w14:paraId="01B62C99" w14:textId="3DA02F5D" w:rsidR="006B1F90" w:rsidRPr="006B1F90" w:rsidRDefault="006B1F90" w:rsidP="00F23AD3">
      <w:pPr>
        <w:shd w:val="clear" w:color="auto" w:fill="FFFFFF"/>
        <w:jc w:val="center"/>
        <w:rPr>
          <w:bCs/>
          <w:color w:val="000000"/>
          <w:szCs w:val="21"/>
        </w:rPr>
      </w:pPr>
      <w:r w:rsidRPr="006B1F90">
        <w:rPr>
          <w:rFonts w:hint="eastAsia"/>
          <w:bCs/>
          <w:color w:val="000000"/>
          <w:szCs w:val="21"/>
        </w:rPr>
        <w:t>第五章</w:t>
      </w:r>
      <w:r w:rsidRPr="006B1F90">
        <w:rPr>
          <w:rFonts w:hint="eastAsia"/>
          <w:bCs/>
          <w:color w:val="000000"/>
          <w:szCs w:val="21"/>
        </w:rPr>
        <w:t xml:space="preserve"> </w:t>
      </w:r>
      <w:r w:rsidRPr="006B1F90">
        <w:rPr>
          <w:rFonts w:hint="eastAsia"/>
          <w:bCs/>
          <w:color w:val="000000"/>
          <w:szCs w:val="21"/>
        </w:rPr>
        <w:t>预防进食障碍</w:t>
      </w:r>
    </w:p>
    <w:p w14:paraId="6A2368DD" w14:textId="4545C911" w:rsidR="006B1F90" w:rsidRPr="006B1F90" w:rsidRDefault="006B1F90" w:rsidP="00F23AD3">
      <w:pPr>
        <w:shd w:val="clear" w:color="auto" w:fill="FFFFFF"/>
        <w:jc w:val="center"/>
        <w:rPr>
          <w:bCs/>
          <w:color w:val="000000"/>
          <w:szCs w:val="21"/>
        </w:rPr>
      </w:pPr>
      <w:r w:rsidRPr="006B1F90">
        <w:rPr>
          <w:rFonts w:hint="eastAsia"/>
          <w:bCs/>
          <w:color w:val="000000"/>
          <w:szCs w:val="21"/>
        </w:rPr>
        <w:t>第六章</w:t>
      </w:r>
      <w:r w:rsidRPr="006B1F90">
        <w:rPr>
          <w:rFonts w:hint="eastAsia"/>
          <w:bCs/>
          <w:color w:val="000000"/>
          <w:szCs w:val="21"/>
        </w:rPr>
        <w:t xml:space="preserve"> </w:t>
      </w:r>
      <w:r w:rsidRPr="006B1F90">
        <w:rPr>
          <w:rFonts w:hint="eastAsia"/>
          <w:bCs/>
          <w:color w:val="000000"/>
          <w:szCs w:val="21"/>
        </w:rPr>
        <w:t>结语：行动起来</w:t>
      </w:r>
    </w:p>
    <w:p w14:paraId="63F4C613" w14:textId="213F798E" w:rsidR="006B1F90" w:rsidRPr="006B1F90" w:rsidRDefault="006B1F90" w:rsidP="00F23AD3">
      <w:pPr>
        <w:shd w:val="clear" w:color="auto" w:fill="FFFFFF"/>
        <w:jc w:val="center"/>
        <w:rPr>
          <w:bCs/>
          <w:color w:val="000000"/>
          <w:szCs w:val="21"/>
        </w:rPr>
      </w:pPr>
      <w:r w:rsidRPr="006B1F90">
        <w:rPr>
          <w:rFonts w:hint="eastAsia"/>
          <w:bCs/>
          <w:color w:val="000000"/>
          <w:szCs w:val="21"/>
        </w:rPr>
        <w:t>术语表</w:t>
      </w:r>
    </w:p>
    <w:p w14:paraId="3058A2AE" w14:textId="1B26F10A" w:rsidR="006B1F90" w:rsidRPr="006B1F90" w:rsidRDefault="006B1F90" w:rsidP="00F23AD3">
      <w:pPr>
        <w:shd w:val="clear" w:color="auto" w:fill="FFFFFF"/>
        <w:jc w:val="center"/>
        <w:rPr>
          <w:bCs/>
          <w:color w:val="000000"/>
          <w:szCs w:val="21"/>
        </w:rPr>
      </w:pPr>
      <w:r w:rsidRPr="006B1F90">
        <w:rPr>
          <w:rFonts w:hint="eastAsia"/>
          <w:bCs/>
          <w:color w:val="000000"/>
          <w:szCs w:val="21"/>
        </w:rPr>
        <w:t>资源</w:t>
      </w:r>
    </w:p>
    <w:p w14:paraId="7EB53BE1" w14:textId="3FF9C5CE" w:rsidR="006B1F90" w:rsidRPr="006B1F90" w:rsidRDefault="006B1F90" w:rsidP="00F23AD3">
      <w:pPr>
        <w:shd w:val="clear" w:color="auto" w:fill="FFFFFF"/>
        <w:jc w:val="center"/>
        <w:rPr>
          <w:bCs/>
          <w:color w:val="000000"/>
          <w:szCs w:val="21"/>
        </w:rPr>
      </w:pPr>
      <w:r w:rsidRPr="006B1F90">
        <w:rPr>
          <w:rFonts w:hint="eastAsia"/>
          <w:bCs/>
          <w:color w:val="000000"/>
          <w:szCs w:val="21"/>
        </w:rPr>
        <w:t>参考书目</w:t>
      </w:r>
    </w:p>
    <w:p w14:paraId="244DD161" w14:textId="09C724B2" w:rsidR="0039755A" w:rsidRDefault="006B1F90" w:rsidP="00F23AD3">
      <w:pPr>
        <w:shd w:val="clear" w:color="auto" w:fill="FFFFFF"/>
        <w:jc w:val="center"/>
        <w:rPr>
          <w:bCs/>
          <w:color w:val="000000"/>
          <w:szCs w:val="21"/>
        </w:rPr>
      </w:pPr>
      <w:r w:rsidRPr="006B1F90">
        <w:rPr>
          <w:rFonts w:hint="eastAsia"/>
          <w:bCs/>
          <w:color w:val="000000"/>
          <w:szCs w:val="21"/>
        </w:rPr>
        <w:t>参考文献</w:t>
      </w:r>
    </w:p>
    <w:p w14:paraId="5B5BA3E9" w14:textId="77777777" w:rsidR="0039755A" w:rsidRDefault="0039755A" w:rsidP="00882F94">
      <w:pPr>
        <w:shd w:val="clear" w:color="auto" w:fill="FFFFFF"/>
        <w:snapToGrid w:val="0"/>
        <w:rPr>
          <w:bCs/>
          <w:color w:val="000000"/>
          <w:szCs w:val="21"/>
        </w:rPr>
      </w:pPr>
    </w:p>
    <w:p w14:paraId="118C7E8D" w14:textId="77777777" w:rsidR="00F23AD3" w:rsidRPr="0039755A" w:rsidRDefault="00F23AD3"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D2C07" w14:textId="77777777" w:rsidR="00F310DE" w:rsidRDefault="00F310DE">
      <w:r>
        <w:separator/>
      </w:r>
    </w:p>
  </w:endnote>
  <w:endnote w:type="continuationSeparator" w:id="0">
    <w:p w14:paraId="5501A198" w14:textId="77777777" w:rsidR="00F310DE" w:rsidRDefault="00F3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587A4" w14:textId="77777777" w:rsidR="00F310DE" w:rsidRDefault="00F310DE">
      <w:r>
        <w:separator/>
      </w:r>
    </w:p>
  </w:footnote>
  <w:footnote w:type="continuationSeparator" w:id="0">
    <w:p w14:paraId="27084803" w14:textId="77777777" w:rsidR="00F310DE" w:rsidRDefault="00F31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C0E790F"/>
    <w:multiLevelType w:val="hybridMultilevel"/>
    <w:tmpl w:val="1F205F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4A36C8B"/>
    <w:multiLevelType w:val="multilevel"/>
    <w:tmpl w:val="9CB4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3"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7"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4"/>
  </w:num>
  <w:num w:numId="2">
    <w:abstractNumId w:val="16"/>
  </w:num>
  <w:num w:numId="3">
    <w:abstractNumId w:val="27"/>
  </w:num>
  <w:num w:numId="4">
    <w:abstractNumId w:val="25"/>
  </w:num>
  <w:num w:numId="5">
    <w:abstractNumId w:val="30"/>
  </w:num>
  <w:num w:numId="6">
    <w:abstractNumId w:val="26"/>
  </w:num>
  <w:num w:numId="7">
    <w:abstractNumId w:val="20"/>
  </w:num>
  <w:num w:numId="8">
    <w:abstractNumId w:val="23"/>
  </w:num>
  <w:num w:numId="9">
    <w:abstractNumId w:val="40"/>
  </w:num>
  <w:num w:numId="10">
    <w:abstractNumId w:val="2"/>
  </w:num>
  <w:num w:numId="11">
    <w:abstractNumId w:val="1"/>
  </w:num>
  <w:num w:numId="12">
    <w:abstractNumId w:val="12"/>
  </w:num>
  <w:num w:numId="13">
    <w:abstractNumId w:val="31"/>
  </w:num>
  <w:num w:numId="14">
    <w:abstractNumId w:val="33"/>
  </w:num>
  <w:num w:numId="15">
    <w:abstractNumId w:val="15"/>
  </w:num>
  <w:num w:numId="16">
    <w:abstractNumId w:val="39"/>
  </w:num>
  <w:num w:numId="17">
    <w:abstractNumId w:val="14"/>
  </w:num>
  <w:num w:numId="18">
    <w:abstractNumId w:val="22"/>
  </w:num>
  <w:num w:numId="19">
    <w:abstractNumId w:val="6"/>
  </w:num>
  <w:num w:numId="20">
    <w:abstractNumId w:val="43"/>
  </w:num>
  <w:num w:numId="21">
    <w:abstractNumId w:val="37"/>
  </w:num>
  <w:num w:numId="22">
    <w:abstractNumId w:val="29"/>
  </w:num>
  <w:num w:numId="23">
    <w:abstractNumId w:val="3"/>
  </w:num>
  <w:num w:numId="24">
    <w:abstractNumId w:val="7"/>
  </w:num>
  <w:num w:numId="25">
    <w:abstractNumId w:val="38"/>
  </w:num>
  <w:num w:numId="26">
    <w:abstractNumId w:val="4"/>
  </w:num>
  <w:num w:numId="27">
    <w:abstractNumId w:val="17"/>
  </w:num>
  <w:num w:numId="28">
    <w:abstractNumId w:val="36"/>
  </w:num>
  <w:num w:numId="29">
    <w:abstractNumId w:val="41"/>
  </w:num>
  <w:num w:numId="30">
    <w:abstractNumId w:val="28"/>
  </w:num>
  <w:num w:numId="31">
    <w:abstractNumId w:val="34"/>
  </w:num>
  <w:num w:numId="32">
    <w:abstractNumId w:val="42"/>
  </w:num>
  <w:num w:numId="33">
    <w:abstractNumId w:val="10"/>
  </w:num>
  <w:num w:numId="34">
    <w:abstractNumId w:val="9"/>
  </w:num>
  <w:num w:numId="35">
    <w:abstractNumId w:val="13"/>
  </w:num>
  <w:num w:numId="36">
    <w:abstractNumId w:val="21"/>
  </w:num>
  <w:num w:numId="37">
    <w:abstractNumId w:val="11"/>
  </w:num>
  <w:num w:numId="38">
    <w:abstractNumId w:val="5"/>
  </w:num>
  <w:num w:numId="39">
    <w:abstractNumId w:val="0"/>
  </w:num>
  <w:num w:numId="40">
    <w:abstractNumId w:val="32"/>
  </w:num>
  <w:num w:numId="41">
    <w:abstractNumId w:val="18"/>
  </w:num>
  <w:num w:numId="42">
    <w:abstractNumId w:val="35"/>
  </w:num>
  <w:num w:numId="43">
    <w:abstractNumId w:val="1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1F90"/>
    <w:rsid w:val="006B5C5C"/>
    <w:rsid w:val="006B6CAB"/>
    <w:rsid w:val="006B7CF3"/>
    <w:rsid w:val="006D1088"/>
    <w:rsid w:val="006D15FA"/>
    <w:rsid w:val="006D37ED"/>
    <w:rsid w:val="006D4FC0"/>
    <w:rsid w:val="006E2E2E"/>
    <w:rsid w:val="006E308E"/>
    <w:rsid w:val="006E34B6"/>
    <w:rsid w:val="006E568B"/>
    <w:rsid w:val="006E7473"/>
    <w:rsid w:val="006E7DD5"/>
    <w:rsid w:val="006F096F"/>
    <w:rsid w:val="006F1E29"/>
    <w:rsid w:val="006F234E"/>
    <w:rsid w:val="006F29A6"/>
    <w:rsid w:val="006F360F"/>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3867"/>
    <w:rsid w:val="0091529A"/>
    <w:rsid w:val="009163D0"/>
    <w:rsid w:val="00916A50"/>
    <w:rsid w:val="0092200E"/>
    <w:rsid w:val="009222F0"/>
    <w:rsid w:val="009247C6"/>
    <w:rsid w:val="00925931"/>
    <w:rsid w:val="009261E6"/>
    <w:rsid w:val="00926443"/>
    <w:rsid w:val="00926692"/>
    <w:rsid w:val="00931DDB"/>
    <w:rsid w:val="00937973"/>
    <w:rsid w:val="0094205E"/>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35F7C"/>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8FD"/>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59A"/>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15B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3AD3"/>
    <w:rsid w:val="00F24083"/>
    <w:rsid w:val="00F25456"/>
    <w:rsid w:val="00F26218"/>
    <w:rsid w:val="00F2634A"/>
    <w:rsid w:val="00F310DE"/>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5143113">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6052">
      <w:bodyDiv w:val="1"/>
      <w:marLeft w:val="0"/>
      <w:marRight w:val="0"/>
      <w:marTop w:val="0"/>
      <w:marBottom w:val="0"/>
      <w:divBdr>
        <w:top w:val="none" w:sz="0" w:space="0" w:color="auto"/>
        <w:left w:val="none" w:sz="0" w:space="0" w:color="auto"/>
        <w:bottom w:val="none" w:sz="0" w:space="0" w:color="auto"/>
        <w:right w:val="none" w:sz="0" w:space="0" w:color="auto"/>
      </w:divBdr>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F094-41DA-47DA-B973-DCD70838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1463</Words>
  <Characters>1904</Characters>
  <Application>Microsoft Office Word</Application>
  <DocSecurity>0</DocSecurity>
  <Lines>90</Lines>
  <Paragraphs>73</Paragraphs>
  <ScaleCrop>false</ScaleCrop>
  <Company>2ndSpAcE</Company>
  <LinksUpToDate>false</LinksUpToDate>
  <CharactersWithSpaces>3294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2026-04-21T04:11:00Z</dcterms:created>
  <dcterms:modified xsi:type="dcterms:W3CDTF">2026-04-23T05:49:00Z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