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3939540</wp:posOffset>
            </wp:positionH>
            <wp:positionV relativeFrom="paragraph">
              <wp:posOffset>57785</wp:posOffset>
            </wp:positionV>
            <wp:extent cx="1476375" cy="2120265"/>
            <wp:effectExtent l="0" t="0" r="1905" b="13335"/>
            <wp:wrapSquare wrapText="bothSides"/>
            <wp:docPr id="1" name="图片 39" descr="C:/Users/lenovo/Desktop/屏幕截图 2026-04-13 220148.png屏幕截图 2026-04-13 220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4-13 220148.png屏幕截图 2026-04-13 220148"/>
                    <pic:cNvPicPr>
                      <a:picLocks noChangeAspect="1"/>
                    </pic:cNvPicPr>
                  </pic:nvPicPr>
                  <pic:blipFill>
                    <a:blip r:embed="rId6"/>
                    <a:srcRect t="295" b="295"/>
                    <a:stretch>
                      <a:fillRect/>
                    </a:stretch>
                  </pic:blipFill>
                  <pic:spPr>
                    <a:xfrm>
                      <a:off x="0" y="0"/>
                      <a:ext cx="1476375" cy="212026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《幻影拜占庭：从古晚期到二战的欧洲、帝国与身份建构》</w:t>
      </w:r>
    </w:p>
    <w:p w14:paraId="139DC89A">
      <w:pPr>
        <w:tabs>
          <w:tab w:val="left" w:pos="341"/>
          <w:tab w:val="left" w:pos="5235"/>
        </w:tabs>
        <w:jc w:val="left"/>
        <w:rPr>
          <w:rFonts w:hint="eastAsia"/>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Phantom Byzantium</w:t>
      </w:r>
      <w:r>
        <w:rPr>
          <w:rFonts w:hint="eastAsia"/>
          <w:b/>
          <w:bCs/>
          <w:i/>
          <w:iCs w:val="0"/>
          <w:color w:val="000000"/>
          <w:szCs w:val="21"/>
          <w:highlight w:val="none"/>
          <w:lang w:val="en-US" w:eastAsia="zh-CN"/>
        </w:rPr>
        <w:t>:</w:t>
      </w:r>
      <w:r>
        <w:rPr>
          <w:rFonts w:hint="eastAsia"/>
          <w:b/>
          <w:bCs/>
          <w:i/>
          <w:iCs w:val="0"/>
          <w:color w:val="000000"/>
          <w:szCs w:val="21"/>
          <w:highlight w:val="none"/>
        </w:rPr>
        <w:t xml:space="preserve"> Europe, Empire, and Identity from Late Antiquity to World War II</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Anthony Kaldellis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University of Chicago Press</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240页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4月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val="en-US" w:eastAsia="zh-CN"/>
        </w:rPr>
      </w:pPr>
      <w:r>
        <w:rPr>
          <w:b/>
          <w:bCs/>
          <w:szCs w:val="21"/>
          <w:highlight w:val="none"/>
        </w:rPr>
        <w:t>审读资料：</w:t>
      </w:r>
      <w:r>
        <w:rPr>
          <w:rFonts w:hint="eastAsia"/>
          <w:b/>
          <w:bCs/>
          <w:szCs w:val="21"/>
          <w:highlight w:val="none"/>
          <w:lang w:val="en-US" w:eastAsia="zh-CN"/>
        </w:rPr>
        <w:t>电子稿</w:t>
      </w:r>
    </w:p>
    <w:p w14:paraId="325CF91C">
      <w:pPr>
        <w:tabs>
          <w:tab w:val="left" w:pos="341"/>
          <w:tab w:val="left" w:pos="5235"/>
        </w:tabs>
        <w:rPr>
          <w:rFonts w:hint="eastAsia"/>
          <w:b/>
          <w:bCs/>
          <w:szCs w:val="21"/>
          <w:highlight w:val="none"/>
          <w:lang w:val="en-US" w:eastAsia="zh-CN"/>
        </w:rPr>
      </w:pPr>
      <w:r>
        <w:rPr>
          <w:b/>
          <w:bCs/>
          <w:szCs w:val="21"/>
          <w:highlight w:val="none"/>
        </w:rPr>
        <w:t>类    型：</w:t>
      </w:r>
      <w:r>
        <w:rPr>
          <w:rFonts w:hint="eastAsia"/>
          <w:b/>
          <w:bCs/>
          <w:szCs w:val="21"/>
          <w:highlight w:val="none"/>
          <w:lang w:val="en-US" w:eastAsia="zh-CN"/>
        </w:rPr>
        <w:t>历史</w:t>
      </w:r>
    </w:p>
    <w:p w14:paraId="029BEBC0">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 xml:space="preserve">Best Sellers Rank: </w:t>
      </w:r>
    </w:p>
    <w:p w14:paraId="4DFAC03D">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#529 in Ancient Civilizations</w:t>
      </w:r>
    </w:p>
    <w:p w14:paraId="5DC32AF0">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#986 in European History (Books)</w:t>
      </w:r>
    </w:p>
    <w:p w14:paraId="026FDD9E">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4B636B6D">
      <w:pPr>
        <w:ind w:firstLine="420" w:firstLineChars="200"/>
        <w:rPr>
          <w:rFonts w:hint="eastAsia"/>
          <w:bCs/>
          <w:kern w:val="0"/>
          <w:szCs w:val="21"/>
        </w:rPr>
      </w:pPr>
      <w:r>
        <w:rPr>
          <w:rFonts w:hint="eastAsia"/>
          <w:bCs/>
          <w:kern w:val="0"/>
          <w:szCs w:val="21"/>
        </w:rPr>
        <w:t>《幻影拜占庭》揭示了拜占庭研究的意识形态基础，是一部开创性的纵览，考察了从古代晚期到第二次世界大战期间西欧对东罗马帝国（亦称拜占庭）的看法。通过十个按时间顺序编排的章节，安东尼·卡尔德利斯论证了西欧如何通过采纳东帝国的 prestigious 文化元素，同时将其描绘为低人一等，来逐渐形成自身的身份认同。西方以君士坦丁堡为蓝本塑造其罗马帝国风格，却又将其贬低为希腊而非罗马；从东方吸收了众多基督教传统，却又指责东方分裂教会、信奉异端或背信弃义；在文艺复兴时期，利用希腊学者带来的古典希腊语文学，却又将他们边缘化为不配承载这一传统的人。这种东方化的冲动起到了支撑西方例外论的作用，并导致虚构出“拜占庭”作为欧洲邪恶的孪生幻影——它体现了对欧洲身份认同至关重要的传统中最糟糕的版本，将该地区描绘成专制、迷信且堕落的。</w:t>
      </w:r>
    </w:p>
    <w:p w14:paraId="46505D01">
      <w:pPr>
        <w:ind w:firstLine="420" w:firstLineChars="200"/>
        <w:rPr>
          <w:rFonts w:hint="eastAsia"/>
          <w:bCs/>
          <w:kern w:val="0"/>
          <w:szCs w:val="21"/>
        </w:rPr>
      </w:pPr>
    </w:p>
    <w:p w14:paraId="6180FB91">
      <w:pPr>
        <w:ind w:firstLine="420" w:firstLineChars="200"/>
        <w:rPr>
          <w:rFonts w:hint="eastAsia"/>
          <w:bCs/>
          <w:kern w:val="0"/>
          <w:szCs w:val="21"/>
        </w:rPr>
      </w:pPr>
      <w:r>
        <w:rPr>
          <w:rFonts w:hint="eastAsia"/>
          <w:bCs/>
          <w:kern w:val="0"/>
          <w:szCs w:val="21"/>
        </w:rPr>
        <w:t>本书解释了拜占庭这一意识形态建构在西方想象和欧洲自我塑造中的产生、历史与功能，对当代的欧洲历史观具有重要的批判性启示。</w:t>
      </w:r>
    </w:p>
    <w:p w14:paraId="47F8E361">
      <w:pPr>
        <w:ind w:firstLine="420" w:firstLineChars="200"/>
        <w:rPr>
          <w:rFonts w:hint="eastAsia"/>
          <w:bCs/>
          <w:kern w:val="0"/>
          <w:szCs w:val="21"/>
          <w:lang w:val="en-US" w:eastAsia="zh-CN"/>
        </w:rPr>
      </w:pPr>
    </w:p>
    <w:p w14:paraId="1951768D">
      <w:pPr>
        <w:rPr>
          <w:rFonts w:hint="eastAsia"/>
          <w:b/>
          <w:color w:val="000000"/>
          <w:szCs w:val="21"/>
        </w:rPr>
      </w:pPr>
      <w:r>
        <w:rPr>
          <w:b/>
          <w:color w:val="000000"/>
          <w:szCs w:val="21"/>
        </w:rPr>
        <w:t>作者简介：</w:t>
      </w:r>
    </w:p>
    <w:p w14:paraId="67EA0646">
      <w:pPr>
        <w:rPr>
          <w:bCs/>
          <w:color w:val="000000"/>
          <w:szCs w:val="21"/>
        </w:rPr>
      </w:pPr>
    </w:p>
    <w:p w14:paraId="65A7C7E0">
      <w:pPr>
        <w:ind w:right="420" w:firstLine="422" w:firstLineChars="200"/>
        <w:jc w:val="left"/>
        <w:rPr>
          <w:rFonts w:hint="default"/>
          <w:b/>
          <w:bCs/>
          <w:color w:val="000000"/>
          <w:szCs w:val="21"/>
          <w:lang w:val="en-US" w:eastAsia="zh-CN"/>
        </w:rPr>
      </w:pPr>
      <w:r>
        <w:rPr>
          <w:rFonts w:hint="eastAsia"/>
          <w:b/>
          <w:bCs/>
          <w:color w:val="000000"/>
          <w:szCs w:val="21"/>
          <w:lang w:val="en-US" w:eastAsia="zh-CN"/>
        </w:rPr>
        <w:t>安东尼·卡尔德利斯（</w:t>
      </w:r>
      <w:r>
        <w:rPr>
          <w:rFonts w:hint="eastAsia"/>
          <w:b/>
          <w:bCs/>
          <w:color w:val="000000"/>
          <w:szCs w:val="21"/>
          <w:highlight w:val="none"/>
        </w:rPr>
        <w:t>Anthony Kaldellis</w:t>
      </w:r>
      <w:r>
        <w:rPr>
          <w:rFonts w:hint="eastAsia"/>
          <w:b/>
          <w:bCs/>
          <w:color w:val="000000"/>
          <w:szCs w:val="21"/>
          <w:lang w:val="en-US" w:eastAsia="zh-CN"/>
        </w:rPr>
        <w:t>）</w:t>
      </w:r>
      <w:r>
        <w:rPr>
          <w:rFonts w:hint="eastAsia"/>
          <w:b w:val="0"/>
          <w:bCs w:val="0"/>
          <w:color w:val="000000"/>
          <w:szCs w:val="21"/>
          <w:lang w:val="en-US" w:eastAsia="zh-CN"/>
        </w:rPr>
        <w:t>是芝加哥大学古典学教授。他著有多部著作，近作包括《新罗马帝国：拜占庭史》，并主持播客《拜占庭与朋友们》。</w:t>
      </w:r>
    </w:p>
    <w:p w14:paraId="10811267">
      <w:pPr>
        <w:ind w:right="420"/>
        <w:jc w:val="left"/>
        <w:rPr>
          <w:rFonts w:hint="default"/>
          <w:b/>
          <w:bCs/>
          <w:color w:val="000000"/>
          <w:szCs w:val="21"/>
          <w:lang w:val="en-US" w:eastAsia="zh-CN"/>
        </w:rPr>
      </w:pPr>
    </w:p>
    <w:p w14:paraId="298938BB">
      <w:pPr>
        <w:ind w:right="420"/>
        <w:jc w:val="left"/>
        <w:rPr>
          <w:rFonts w:hint="eastAsia"/>
          <w:b/>
          <w:bCs/>
          <w:color w:val="000000"/>
          <w:szCs w:val="21"/>
          <w:lang w:val="en-US" w:eastAsia="zh-CN"/>
        </w:rPr>
      </w:pPr>
    </w:p>
    <w:p w14:paraId="26717452">
      <w:pPr>
        <w:ind w:right="420"/>
        <w:jc w:val="left"/>
        <w:rPr>
          <w:rFonts w:hint="eastAsia"/>
          <w:b/>
          <w:bCs/>
          <w:color w:val="000000"/>
          <w:szCs w:val="21"/>
          <w:lang w:val="en-US" w:eastAsia="zh-CN"/>
        </w:rPr>
      </w:pPr>
      <w:r>
        <w:rPr>
          <w:rFonts w:hint="eastAsia"/>
          <w:b/>
          <w:bCs/>
          <w:color w:val="000000"/>
          <w:szCs w:val="21"/>
          <w:lang w:val="en-US" w:eastAsia="zh-CN"/>
        </w:rPr>
        <w:t>媒体评价：</w:t>
      </w:r>
    </w:p>
    <w:p w14:paraId="36280FC6">
      <w:pPr>
        <w:ind w:right="420"/>
        <w:jc w:val="left"/>
        <w:rPr>
          <w:rFonts w:hint="eastAsia"/>
          <w:b/>
          <w:bCs/>
          <w:color w:val="000000"/>
          <w:szCs w:val="21"/>
          <w:lang w:val="en-US" w:eastAsia="zh-CN"/>
        </w:rPr>
      </w:pPr>
    </w:p>
    <w:p w14:paraId="017662BB">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卡德尔利斯又一次让我们不得不重新审视我们原有的诸多认知——这次是关于西欧在‘拜占庭’概念中所扮演的长达千年的角色。卡德尔利斯证明了‘拜占庭’是一个欧洲自我塑造的项目，是西欧精英们为自己争取希腊、罗马和基督教历史遗产的方式，同时却将这些遗产拒之于被称为拜占庭人的民族之外。这是一部创新性且易于理解的研究著作，展示了一位对资料有着非凡掌控能力的学者。”</w:t>
      </w:r>
    </w:p>
    <w:p w14:paraId="34DFE7DC">
      <w:pPr>
        <w:ind w:right="420"/>
        <w:jc w:val="right"/>
        <w:rPr>
          <w:rFonts w:hint="default"/>
          <w:b w:val="0"/>
          <w:bCs w:val="0"/>
          <w:color w:val="000000"/>
          <w:szCs w:val="21"/>
          <w:lang w:val="en-US" w:eastAsia="zh-CN"/>
        </w:rPr>
      </w:pPr>
      <w:r>
        <w:rPr>
          <w:rFonts w:hint="default"/>
          <w:b w:val="0"/>
          <w:bCs w:val="0"/>
          <w:color w:val="000000"/>
          <w:szCs w:val="21"/>
          <w:lang w:val="en-US" w:eastAsia="zh-CN"/>
        </w:rPr>
        <w:t>——乔治·E·德马科普洛斯，福特汉姆大学</w:t>
      </w:r>
    </w:p>
    <w:p w14:paraId="4DB62453">
      <w:pPr>
        <w:ind w:right="420" w:firstLine="420" w:firstLineChars="200"/>
        <w:jc w:val="left"/>
        <w:rPr>
          <w:rFonts w:hint="default"/>
          <w:b w:val="0"/>
          <w:bCs w:val="0"/>
          <w:color w:val="000000"/>
          <w:szCs w:val="21"/>
          <w:lang w:val="en-US" w:eastAsia="zh-CN"/>
        </w:rPr>
      </w:pPr>
    </w:p>
    <w:p w14:paraId="7A1BC508">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“凭借其重要且极具吸引力的《</w:t>
      </w:r>
      <w:r>
        <w:rPr>
          <w:rFonts w:hint="eastAsia" w:ascii="Times New Roman" w:hAnsi="Times New Roman" w:eastAsia="宋体" w:cs="Times New Roman"/>
          <w:b w:val="0"/>
          <w:bCs w:val="0"/>
          <w:color w:val="000000"/>
          <w:kern w:val="2"/>
          <w:sz w:val="21"/>
          <w:szCs w:val="21"/>
          <w:lang w:val="en-US" w:eastAsia="zh-CN" w:bidi="ar-SA"/>
        </w:rPr>
        <w:t>幻影拜占庭</w:t>
      </w:r>
      <w:r>
        <w:rPr>
          <w:rFonts w:hint="default"/>
          <w:b w:val="0"/>
          <w:bCs w:val="0"/>
          <w:color w:val="000000"/>
          <w:szCs w:val="21"/>
          <w:lang w:val="en-US" w:eastAsia="zh-CN"/>
        </w:rPr>
        <w:t>》，卡尔德利斯继续在拜占庭研究领域开创了新的局面。卡尔德利斯在其研究项目的基础上进行了出色的拓展，对长达数世纪以来对现代学者所称的拜占庭人所拥有的罗马身份的否定现象进行了全面的批判。他探讨了在二十世纪初，西欧的</w:t>
      </w:r>
      <w:bookmarkStart w:id="1" w:name="_GoBack"/>
      <w:bookmarkEnd w:id="1"/>
      <w:r>
        <w:rPr>
          <w:rFonts w:hint="default"/>
          <w:b w:val="0"/>
          <w:bCs w:val="0"/>
          <w:color w:val="000000"/>
          <w:szCs w:val="21"/>
          <w:lang w:val="en-US" w:eastAsia="zh-CN"/>
        </w:rPr>
        <w:t>优越感、帝国主义观念以及种族主义是如何相互结合，从而在拜占庭学者当中造成了对他们所研究的文本、艺术作品和人物的特别轻视的态度。”</w:t>
      </w:r>
    </w:p>
    <w:p w14:paraId="4F3EC410">
      <w:pPr>
        <w:ind w:right="420"/>
        <w:jc w:val="right"/>
        <w:rPr>
          <w:rFonts w:hint="default"/>
          <w:b w:val="0"/>
          <w:bCs w:val="0"/>
          <w:color w:val="000000"/>
          <w:szCs w:val="21"/>
          <w:lang w:val="en-US" w:eastAsia="zh-CN"/>
        </w:rPr>
      </w:pPr>
      <w:r>
        <w:rPr>
          <w:rFonts w:hint="default"/>
          <w:b w:val="0"/>
          <w:bCs w:val="0"/>
          <w:color w:val="000000"/>
          <w:szCs w:val="21"/>
          <w:lang w:val="en-US" w:eastAsia="zh-CN"/>
        </w:rPr>
        <w:t>——爱德华·瓦茨，加利福尼亚大学圣地亚哥分校</w:t>
      </w:r>
    </w:p>
    <w:p w14:paraId="5A6BE56E">
      <w:pPr>
        <w:ind w:right="420"/>
        <w:jc w:val="left"/>
        <w:rPr>
          <w:rFonts w:hint="default"/>
          <w:b/>
          <w:bCs/>
          <w:color w:val="000000"/>
          <w:szCs w:val="21"/>
          <w:lang w:val="en-US" w:eastAsia="zh-CN"/>
        </w:rPr>
      </w:pPr>
    </w:p>
    <w:p w14:paraId="54CEB371">
      <w:pPr>
        <w:ind w:right="420"/>
        <w:jc w:val="left"/>
        <w:rPr>
          <w:rFonts w:hint="eastAsia"/>
          <w:b/>
          <w:bCs/>
          <w:color w:val="000000"/>
          <w:szCs w:val="21"/>
          <w:lang w:val="en-US" w:eastAsia="zh-CN"/>
        </w:rPr>
      </w:pPr>
      <w:r>
        <w:rPr>
          <w:rFonts w:hint="eastAsia"/>
          <w:b/>
          <w:bCs/>
          <w:color w:val="000000"/>
          <w:szCs w:val="21"/>
          <w:lang w:val="en-US" w:eastAsia="zh-CN"/>
        </w:rPr>
        <w:t>全书目录：</w:t>
      </w:r>
    </w:p>
    <w:p w14:paraId="4DD42526">
      <w:pPr>
        <w:ind w:right="420"/>
        <w:jc w:val="left"/>
        <w:rPr>
          <w:rFonts w:hint="eastAsia"/>
          <w:b/>
          <w:bCs/>
          <w:color w:val="000000"/>
          <w:szCs w:val="21"/>
          <w:lang w:val="en-US" w:eastAsia="zh-CN"/>
        </w:rPr>
      </w:pPr>
    </w:p>
    <w:p w14:paraId="0B4B46FD">
      <w:pPr>
        <w:ind w:right="420"/>
        <w:jc w:val="left"/>
        <w:rPr>
          <w:rFonts w:hint="default"/>
          <w:b w:val="0"/>
          <w:bCs w:val="0"/>
          <w:color w:val="000000"/>
          <w:szCs w:val="21"/>
          <w:lang w:val="en-US" w:eastAsia="zh-CN"/>
        </w:rPr>
      </w:pPr>
      <w:r>
        <w:rPr>
          <w:rFonts w:hint="default"/>
          <w:b w:val="0"/>
          <w:bCs w:val="0"/>
          <w:color w:val="000000"/>
          <w:szCs w:val="21"/>
          <w:lang w:val="en-US" w:eastAsia="zh-CN"/>
        </w:rPr>
        <w:t>导论</w:t>
      </w:r>
    </w:p>
    <w:p w14:paraId="5BE48090">
      <w:pPr>
        <w:ind w:right="420"/>
        <w:jc w:val="left"/>
        <w:rPr>
          <w:rFonts w:hint="default"/>
          <w:b w:val="0"/>
          <w:bCs w:val="0"/>
          <w:color w:val="000000"/>
          <w:szCs w:val="21"/>
          <w:lang w:val="en-US" w:eastAsia="zh-CN"/>
        </w:rPr>
      </w:pPr>
    </w:p>
    <w:p w14:paraId="508474D3">
      <w:pPr>
        <w:ind w:right="420"/>
        <w:jc w:val="left"/>
        <w:rPr>
          <w:rFonts w:hint="default"/>
          <w:b w:val="0"/>
          <w:bCs w:val="0"/>
          <w:color w:val="000000"/>
          <w:szCs w:val="21"/>
          <w:lang w:val="en-US" w:eastAsia="zh-CN"/>
        </w:rPr>
      </w:pPr>
      <w:r>
        <w:rPr>
          <w:rFonts w:hint="default"/>
          <w:b w:val="0"/>
          <w:bCs w:val="0"/>
          <w:color w:val="000000"/>
          <w:szCs w:val="21"/>
          <w:lang w:val="en-US" w:eastAsia="zh-CN"/>
        </w:rPr>
        <w:t>双重帝国</w:t>
      </w:r>
    </w:p>
    <w:p w14:paraId="42CE3BA0">
      <w:pPr>
        <w:ind w:right="420"/>
        <w:jc w:val="left"/>
        <w:rPr>
          <w:rFonts w:hint="default"/>
          <w:b w:val="0"/>
          <w:bCs w:val="0"/>
          <w:color w:val="000000"/>
          <w:szCs w:val="21"/>
          <w:lang w:val="en-US" w:eastAsia="zh-CN"/>
        </w:rPr>
      </w:pPr>
      <w:r>
        <w:rPr>
          <w:rFonts w:hint="default"/>
          <w:b w:val="0"/>
          <w:bCs w:val="0"/>
          <w:color w:val="000000"/>
          <w:szCs w:val="21"/>
          <w:lang w:val="en-US" w:eastAsia="zh-CN"/>
        </w:rPr>
        <w:t>蛮族王国</w:t>
      </w:r>
    </w:p>
    <w:p w14:paraId="4164A723">
      <w:pPr>
        <w:ind w:right="420"/>
        <w:jc w:val="left"/>
        <w:rPr>
          <w:rFonts w:hint="default"/>
          <w:b w:val="0"/>
          <w:bCs w:val="0"/>
          <w:color w:val="000000"/>
          <w:szCs w:val="21"/>
          <w:lang w:val="en-US" w:eastAsia="zh-CN"/>
        </w:rPr>
      </w:pPr>
      <w:r>
        <w:rPr>
          <w:rFonts w:hint="default"/>
          <w:b w:val="0"/>
          <w:bCs w:val="0"/>
          <w:color w:val="000000"/>
          <w:szCs w:val="21"/>
          <w:lang w:val="en-US" w:eastAsia="zh-CN"/>
        </w:rPr>
        <w:t>教皇与皇帝</w:t>
      </w:r>
    </w:p>
    <w:p w14:paraId="2A6D8065">
      <w:pPr>
        <w:ind w:right="420"/>
        <w:jc w:val="left"/>
        <w:rPr>
          <w:rFonts w:hint="default"/>
          <w:b w:val="0"/>
          <w:bCs w:val="0"/>
          <w:color w:val="000000"/>
          <w:szCs w:val="21"/>
          <w:lang w:val="en-US" w:eastAsia="zh-CN"/>
        </w:rPr>
      </w:pPr>
      <w:r>
        <w:rPr>
          <w:rFonts w:hint="default"/>
          <w:b w:val="0"/>
          <w:bCs w:val="0"/>
          <w:color w:val="000000"/>
          <w:szCs w:val="21"/>
          <w:lang w:val="en-US" w:eastAsia="zh-CN"/>
        </w:rPr>
        <w:t>十字军东征时代</w:t>
      </w:r>
    </w:p>
    <w:p w14:paraId="531A6B19">
      <w:pPr>
        <w:ind w:right="420"/>
        <w:jc w:val="left"/>
        <w:rPr>
          <w:rFonts w:hint="default"/>
          <w:b w:val="0"/>
          <w:bCs w:val="0"/>
          <w:color w:val="000000"/>
          <w:szCs w:val="21"/>
          <w:lang w:val="en-US" w:eastAsia="zh-CN"/>
        </w:rPr>
      </w:pPr>
      <w:r>
        <w:rPr>
          <w:rFonts w:hint="default"/>
          <w:b w:val="0"/>
          <w:bCs w:val="0"/>
          <w:color w:val="000000"/>
          <w:szCs w:val="21"/>
          <w:lang w:val="en-US" w:eastAsia="zh-CN"/>
        </w:rPr>
        <w:t>殖民化的死胡同</w:t>
      </w:r>
    </w:p>
    <w:p w14:paraId="44DC7F66">
      <w:pPr>
        <w:ind w:right="420"/>
        <w:jc w:val="left"/>
        <w:rPr>
          <w:rFonts w:hint="default"/>
          <w:b w:val="0"/>
          <w:bCs w:val="0"/>
          <w:color w:val="000000"/>
          <w:szCs w:val="21"/>
          <w:lang w:val="en-US" w:eastAsia="zh-CN"/>
        </w:rPr>
      </w:pPr>
      <w:r>
        <w:rPr>
          <w:rFonts w:hint="default"/>
          <w:b w:val="0"/>
          <w:bCs w:val="0"/>
          <w:color w:val="000000"/>
          <w:szCs w:val="21"/>
          <w:lang w:val="en-US" w:eastAsia="zh-CN"/>
        </w:rPr>
        <w:t>人文主义与希腊语研究</w:t>
      </w:r>
    </w:p>
    <w:p w14:paraId="410F167E">
      <w:pPr>
        <w:ind w:right="420"/>
        <w:jc w:val="left"/>
        <w:rPr>
          <w:rFonts w:hint="default"/>
          <w:b w:val="0"/>
          <w:bCs w:val="0"/>
          <w:color w:val="000000"/>
          <w:szCs w:val="21"/>
          <w:lang w:val="en-US" w:eastAsia="zh-CN"/>
        </w:rPr>
      </w:pPr>
      <w:r>
        <w:rPr>
          <w:rFonts w:hint="default"/>
          <w:b w:val="0"/>
          <w:bCs w:val="0"/>
          <w:color w:val="000000"/>
          <w:szCs w:val="21"/>
          <w:lang w:val="en-US" w:eastAsia="zh-CN"/>
        </w:rPr>
        <w:t>早期学术与政治理论</w:t>
      </w:r>
    </w:p>
    <w:p w14:paraId="596CE6A4">
      <w:pPr>
        <w:ind w:right="420"/>
        <w:jc w:val="left"/>
        <w:rPr>
          <w:rFonts w:hint="default"/>
          <w:b w:val="0"/>
          <w:bCs w:val="0"/>
          <w:color w:val="000000"/>
          <w:szCs w:val="21"/>
          <w:lang w:val="en-US" w:eastAsia="zh-CN"/>
        </w:rPr>
      </w:pPr>
      <w:r>
        <w:rPr>
          <w:rFonts w:hint="default"/>
          <w:b w:val="0"/>
          <w:bCs w:val="0"/>
          <w:color w:val="000000"/>
          <w:szCs w:val="21"/>
          <w:lang w:val="en-US" w:eastAsia="zh-CN"/>
        </w:rPr>
        <w:t>与启蒙运动冲突</w:t>
      </w:r>
    </w:p>
    <w:p w14:paraId="41CE5BC7">
      <w:pPr>
        <w:ind w:right="420"/>
        <w:jc w:val="left"/>
        <w:rPr>
          <w:rFonts w:hint="default"/>
          <w:b w:val="0"/>
          <w:bCs w:val="0"/>
          <w:color w:val="000000"/>
          <w:szCs w:val="21"/>
          <w:lang w:val="en-US" w:eastAsia="zh-CN"/>
        </w:rPr>
      </w:pPr>
      <w:r>
        <w:rPr>
          <w:rFonts w:hint="default"/>
          <w:b w:val="0"/>
          <w:bCs w:val="0"/>
          <w:color w:val="000000"/>
          <w:szCs w:val="21"/>
          <w:lang w:val="en-US" w:eastAsia="zh-CN"/>
        </w:rPr>
        <w:t>大国政治</w:t>
      </w:r>
    </w:p>
    <w:p w14:paraId="4532F771">
      <w:pPr>
        <w:ind w:right="420"/>
        <w:jc w:val="left"/>
        <w:rPr>
          <w:rFonts w:hint="default"/>
          <w:b w:val="0"/>
          <w:bCs w:val="0"/>
          <w:color w:val="000000"/>
          <w:szCs w:val="21"/>
          <w:lang w:val="en-US" w:eastAsia="zh-CN"/>
        </w:rPr>
      </w:pPr>
      <w:r>
        <w:rPr>
          <w:rFonts w:hint="default"/>
          <w:b w:val="0"/>
          <w:bCs w:val="0"/>
          <w:color w:val="000000"/>
          <w:szCs w:val="21"/>
          <w:lang w:val="en-US" w:eastAsia="zh-CN"/>
        </w:rPr>
        <w:t>形而上学的转向</w:t>
      </w:r>
    </w:p>
    <w:p w14:paraId="69B239CB">
      <w:pPr>
        <w:ind w:right="420"/>
        <w:jc w:val="left"/>
        <w:rPr>
          <w:rFonts w:hint="default"/>
          <w:b w:val="0"/>
          <w:bCs w:val="0"/>
          <w:color w:val="000000"/>
          <w:szCs w:val="21"/>
          <w:lang w:val="en-US" w:eastAsia="zh-CN"/>
        </w:rPr>
      </w:pPr>
    </w:p>
    <w:p w14:paraId="5C24B2AA">
      <w:pPr>
        <w:ind w:right="420"/>
        <w:jc w:val="left"/>
        <w:rPr>
          <w:rFonts w:hint="default"/>
          <w:b w:val="0"/>
          <w:bCs w:val="0"/>
          <w:color w:val="000000"/>
          <w:szCs w:val="21"/>
          <w:lang w:val="en-US" w:eastAsia="zh-CN"/>
        </w:rPr>
      </w:pPr>
      <w:r>
        <w:rPr>
          <w:rFonts w:hint="default"/>
          <w:b w:val="0"/>
          <w:bCs w:val="0"/>
          <w:color w:val="000000"/>
          <w:szCs w:val="21"/>
          <w:lang w:val="en-US" w:eastAsia="zh-CN"/>
        </w:rPr>
        <w:t>结论</w:t>
      </w:r>
    </w:p>
    <w:p w14:paraId="31962228">
      <w:pPr>
        <w:ind w:right="420"/>
        <w:jc w:val="left"/>
        <w:rPr>
          <w:rFonts w:hint="default"/>
          <w:b w:val="0"/>
          <w:bCs w:val="0"/>
          <w:color w:val="000000"/>
          <w:szCs w:val="21"/>
          <w:lang w:val="en-US" w:eastAsia="zh-CN"/>
        </w:rPr>
      </w:pPr>
      <w:r>
        <w:rPr>
          <w:rFonts w:hint="default"/>
          <w:b w:val="0"/>
          <w:bCs w:val="0"/>
          <w:color w:val="000000"/>
          <w:szCs w:val="21"/>
          <w:lang w:val="en-US" w:eastAsia="zh-CN"/>
        </w:rPr>
        <w:t>致谢</w:t>
      </w:r>
    </w:p>
    <w:p w14:paraId="06333F90">
      <w:pPr>
        <w:ind w:right="420"/>
        <w:jc w:val="left"/>
        <w:rPr>
          <w:rFonts w:hint="default"/>
          <w:b w:val="0"/>
          <w:bCs w:val="0"/>
          <w:color w:val="000000"/>
          <w:szCs w:val="21"/>
          <w:lang w:val="en-US" w:eastAsia="zh-CN"/>
        </w:rPr>
      </w:pPr>
      <w:r>
        <w:rPr>
          <w:rFonts w:hint="default"/>
          <w:b w:val="0"/>
          <w:bCs w:val="0"/>
          <w:color w:val="000000"/>
          <w:szCs w:val="21"/>
          <w:lang w:val="en-US" w:eastAsia="zh-CN"/>
        </w:rPr>
        <w:t>注释</w:t>
      </w:r>
    </w:p>
    <w:p w14:paraId="617F04D5">
      <w:pPr>
        <w:ind w:right="420"/>
        <w:jc w:val="left"/>
        <w:rPr>
          <w:rFonts w:hint="default"/>
          <w:b w:val="0"/>
          <w:bCs w:val="0"/>
          <w:color w:val="000000"/>
          <w:szCs w:val="21"/>
          <w:lang w:val="en-US" w:eastAsia="zh-CN"/>
        </w:rPr>
      </w:pPr>
      <w:r>
        <w:rPr>
          <w:rFonts w:hint="default"/>
          <w:b w:val="0"/>
          <w:bCs w:val="0"/>
          <w:color w:val="000000"/>
          <w:szCs w:val="21"/>
          <w:lang w:val="en-US" w:eastAsia="zh-CN"/>
        </w:rPr>
        <w:t>参考文献选编</w:t>
      </w:r>
    </w:p>
    <w:p w14:paraId="4BBF64A1">
      <w:pPr>
        <w:ind w:right="420"/>
        <w:jc w:val="left"/>
        <w:rPr>
          <w:rFonts w:hint="default"/>
          <w:b w:val="0"/>
          <w:bCs w:val="0"/>
          <w:color w:val="000000"/>
          <w:szCs w:val="21"/>
          <w:lang w:val="en-US" w:eastAsia="zh-CN"/>
        </w:rPr>
      </w:pPr>
      <w:r>
        <w:rPr>
          <w:rFonts w:hint="default"/>
          <w:b w:val="0"/>
          <w:bCs w:val="0"/>
          <w:color w:val="000000"/>
          <w:szCs w:val="21"/>
          <w:lang w:val="en-US" w:eastAsia="zh-CN"/>
        </w:rPr>
        <w:t>索引</w:t>
      </w:r>
    </w:p>
    <w:p w14:paraId="1E0A5664">
      <w:pPr>
        <w:ind w:right="420"/>
        <w:jc w:val="left"/>
        <w:rPr>
          <w:rFonts w:hint="default"/>
          <w:b/>
          <w:bCs/>
          <w:color w:val="000000"/>
          <w:szCs w:val="21"/>
          <w:lang w:val="en-US" w:eastAsia="zh-CN"/>
        </w:rPr>
      </w:pPr>
    </w:p>
    <w:p w14:paraId="0F415BB7">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B8B1A25"/>
    <w:rsid w:val="0C0008F4"/>
    <w:rsid w:val="0C3C7AF6"/>
    <w:rsid w:val="0E6A6913"/>
    <w:rsid w:val="0FEA282E"/>
    <w:rsid w:val="10B63FE7"/>
    <w:rsid w:val="114C2E46"/>
    <w:rsid w:val="13427DB4"/>
    <w:rsid w:val="18AE01D8"/>
    <w:rsid w:val="1BA86C22"/>
    <w:rsid w:val="1D261077"/>
    <w:rsid w:val="1F687700"/>
    <w:rsid w:val="246851A1"/>
    <w:rsid w:val="24771887"/>
    <w:rsid w:val="2C0B6F0E"/>
    <w:rsid w:val="2DA34CE1"/>
    <w:rsid w:val="311566B0"/>
    <w:rsid w:val="341F29BE"/>
    <w:rsid w:val="35FB0213"/>
    <w:rsid w:val="3AE04ADC"/>
    <w:rsid w:val="3C1934F8"/>
    <w:rsid w:val="3D8509C3"/>
    <w:rsid w:val="3F0060B5"/>
    <w:rsid w:val="406B3CF1"/>
    <w:rsid w:val="42B533F0"/>
    <w:rsid w:val="432A1201"/>
    <w:rsid w:val="432C279F"/>
    <w:rsid w:val="43934365"/>
    <w:rsid w:val="459C0CF6"/>
    <w:rsid w:val="46B43896"/>
    <w:rsid w:val="473A51A1"/>
    <w:rsid w:val="4AB62B3E"/>
    <w:rsid w:val="4AE76519"/>
    <w:rsid w:val="543E2C5B"/>
    <w:rsid w:val="58DF0B08"/>
    <w:rsid w:val="5AB726B1"/>
    <w:rsid w:val="601E082E"/>
    <w:rsid w:val="60B3492E"/>
    <w:rsid w:val="68E55B66"/>
    <w:rsid w:val="68EE2E29"/>
    <w:rsid w:val="69A93106"/>
    <w:rsid w:val="6AA515D5"/>
    <w:rsid w:val="6ABF12C5"/>
    <w:rsid w:val="6AEB37C3"/>
    <w:rsid w:val="6C615816"/>
    <w:rsid w:val="6CA56A14"/>
    <w:rsid w:val="71E47BC3"/>
    <w:rsid w:val="745C0F51"/>
    <w:rsid w:val="756C1B13"/>
    <w:rsid w:val="77AB543F"/>
    <w:rsid w:val="77E15A7D"/>
    <w:rsid w:val="788C3961"/>
    <w:rsid w:val="7A2D7823"/>
    <w:rsid w:val="7C901F86"/>
    <w:rsid w:val="7D284D6D"/>
    <w:rsid w:val="7DA712D3"/>
    <w:rsid w:val="7FD742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819</Words>
  <Characters>1208</Characters>
  <Lines>25</Lines>
  <Paragraphs>7</Paragraphs>
  <TotalTime>1</TotalTime>
  <ScaleCrop>false</ScaleCrop>
  <LinksUpToDate>false</LinksUpToDate>
  <CharactersWithSpaces>1250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2026-05-09T01:22:08Z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