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3939540</wp:posOffset>
            </wp:positionH>
            <wp:positionV relativeFrom="paragraph">
              <wp:posOffset>57785</wp:posOffset>
            </wp:positionV>
            <wp:extent cx="1293495" cy="1952625"/>
            <wp:effectExtent l="0" t="0" r="1905" b="13335"/>
            <wp:wrapSquare wrapText="bothSides"/>
            <wp:docPr id="1" name="图片 39" descr="C:/Users/lenovo/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图片1.png图片1"/>
                    <pic:cNvPicPr>
                      <a:picLocks noChangeAspect="1"/>
                    </pic:cNvPicPr>
                  </pic:nvPicPr>
                  <pic:blipFill>
                    <a:blip r:embed="rId6"/>
                    <a:srcRect t="49" b="49"/>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《哈布斯堡钻石：</w:t>
      </w:r>
      <w:r>
        <w:rPr>
          <w:rFonts w:hint="eastAsia" w:ascii="Times New Roman" w:hAnsi="Times New Roman" w:eastAsia="宋体" w:cs="Times New Roman"/>
          <w:b/>
          <w:bCs/>
          <w:kern w:val="2"/>
          <w:sz w:val="21"/>
          <w:szCs w:val="21"/>
          <w:highlight w:val="none"/>
          <w:lang w:val="en-US" w:eastAsia="zh-CN" w:bidi="ar-SA"/>
        </w:rPr>
        <w:t>欧洲史上最神秘宝石的千年追踪</w:t>
      </w:r>
      <w:r>
        <w:rPr>
          <w:rFonts w:hint="eastAsia"/>
          <w:b/>
          <w:bCs/>
          <w:szCs w:val="21"/>
          <w:highlight w:val="none"/>
          <w:lang w:val="en-US" w:eastAsia="zh-CN"/>
        </w:rPr>
        <w:t>》</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The Habsburg</w:t>
      </w:r>
      <w:r>
        <w:rPr>
          <w:rFonts w:hint="eastAsia"/>
          <w:b/>
          <w:bCs/>
          <w:i/>
          <w:iCs w:val="0"/>
          <w:color w:val="000000"/>
          <w:szCs w:val="21"/>
          <w:highlight w:val="none"/>
          <w:lang w:val="en-US" w:eastAsia="zh-CN"/>
        </w:rPr>
        <w:t xml:space="preserve"> </w:t>
      </w:r>
      <w:bookmarkStart w:id="1" w:name="_GoBack"/>
      <w:bookmarkEnd w:id="1"/>
      <w:r>
        <w:rPr>
          <w:rFonts w:hint="eastAsia"/>
          <w:b/>
          <w:bCs/>
          <w:i/>
          <w:iCs w:val="0"/>
          <w:color w:val="000000"/>
          <w:szCs w:val="21"/>
          <w:highlight w:val="none"/>
        </w:rPr>
        <w:t>Diamond</w:t>
      </w:r>
      <w:r>
        <w:rPr>
          <w:rFonts w:hint="eastAsia"/>
          <w:b/>
          <w:bCs/>
          <w:i/>
          <w:iCs w:val="0"/>
          <w:color w:val="000000"/>
          <w:szCs w:val="21"/>
          <w:highlight w:val="none"/>
          <w:lang w:val="en-US" w:eastAsia="zh-CN"/>
        </w:rPr>
        <w:t xml:space="preserve">: </w:t>
      </w:r>
      <w:r>
        <w:rPr>
          <w:rFonts w:hint="eastAsia"/>
          <w:b/>
          <w:bCs/>
          <w:i/>
          <w:iCs w:val="0"/>
          <w:color w:val="000000"/>
          <w:szCs w:val="21"/>
          <w:highlight w:val="none"/>
        </w:rPr>
        <w:t>The Pursuit of the Most Elusive Jewel in European History</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Richard Bassett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spacing w:beforeLines="0" w:afterLines="0"/>
        <w:jc w:val="left"/>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PRH UK/</w:t>
      </w:r>
      <w:r>
        <w:rPr>
          <w:rFonts w:hint="eastAsia" w:ascii="Times New Roman" w:hAnsi="Times New Roman" w:eastAsia="宋体" w:cs="Times New Roman"/>
          <w:b/>
          <w:bCs/>
          <w:color w:val="000000"/>
          <w:kern w:val="2"/>
          <w:sz w:val="21"/>
          <w:szCs w:val="21"/>
          <w:highlight w:val="none"/>
          <w:lang w:val="en-US" w:eastAsia="zh-CN" w:bidi="ar-SA"/>
        </w:rPr>
        <w:t>Penguin Press</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352页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27</w:t>
      </w:r>
      <w:r>
        <w:rPr>
          <w:b/>
          <w:bCs/>
          <w:color w:val="000000"/>
          <w:szCs w:val="21"/>
          <w:highlight w:val="none"/>
        </w:rPr>
        <w:t>年</w:t>
      </w:r>
      <w:r>
        <w:rPr>
          <w:rFonts w:hint="eastAsia"/>
          <w:b/>
          <w:bCs/>
          <w:color w:val="000000"/>
          <w:szCs w:val="21"/>
          <w:highlight w:val="none"/>
          <w:lang w:val="en-US" w:eastAsia="zh-CN"/>
        </w:rPr>
        <w:t>6月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color w:val="FF0000"/>
          <w:szCs w:val="21"/>
          <w:highlight w:val="none"/>
          <w:lang w:val="en-US" w:eastAsia="zh-CN"/>
        </w:rPr>
        <w:t>暂无资料</w:t>
      </w:r>
    </w:p>
    <w:p w14:paraId="325CF91C">
      <w:pPr>
        <w:tabs>
          <w:tab w:val="left" w:pos="341"/>
          <w:tab w:val="left" w:pos="5235"/>
        </w:tabs>
        <w:rPr>
          <w:rFonts w:hint="default" w:eastAsia="宋体"/>
          <w:b/>
          <w:bCs/>
          <w:szCs w:val="21"/>
          <w:highlight w:val="none"/>
          <w:lang w:val="en-US" w:eastAsia="zh-CN"/>
        </w:rPr>
      </w:pPr>
      <w:r>
        <w:rPr>
          <w:b/>
          <w:bCs/>
          <w:szCs w:val="21"/>
          <w:highlight w:val="none"/>
        </w:rPr>
        <w:t>类    型：</w:t>
      </w:r>
      <w:r>
        <w:rPr>
          <w:rFonts w:hint="eastAsia"/>
          <w:b/>
          <w:bCs/>
          <w:szCs w:val="21"/>
          <w:highlight w:val="none"/>
          <w:lang w:val="en-US" w:eastAsia="zh-CN"/>
        </w:rPr>
        <w:t>非小说</w:t>
      </w:r>
    </w:p>
    <w:p w14:paraId="026FDD9E">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7EA25DBF">
      <w:pPr>
        <w:ind w:firstLine="420" w:firstLineChars="200"/>
        <w:rPr>
          <w:rFonts w:hint="eastAsia"/>
          <w:bCs/>
          <w:kern w:val="0"/>
          <w:szCs w:val="21"/>
        </w:rPr>
      </w:pPr>
      <w:r>
        <w:rPr>
          <w:rFonts w:hint="eastAsia"/>
          <w:bCs/>
          <w:kern w:val="0"/>
          <w:szCs w:val="21"/>
        </w:rPr>
        <w:t>关于哈布斯堡钻石在现代欧洲历史上非凡旅程与影响力的首部完整记述。</w:t>
      </w:r>
    </w:p>
    <w:p w14:paraId="6C41C4BD">
      <w:pPr>
        <w:ind w:firstLine="420" w:firstLineChars="200"/>
        <w:rPr>
          <w:rFonts w:hint="eastAsia"/>
          <w:bCs/>
          <w:kern w:val="0"/>
          <w:szCs w:val="21"/>
        </w:rPr>
      </w:pPr>
    </w:p>
    <w:p w14:paraId="00894FBB">
      <w:pPr>
        <w:ind w:firstLine="420" w:firstLineChars="200"/>
        <w:rPr>
          <w:rFonts w:hint="eastAsia"/>
          <w:bCs/>
          <w:kern w:val="0"/>
          <w:szCs w:val="21"/>
        </w:rPr>
      </w:pPr>
      <w:r>
        <w:rPr>
          <w:rFonts w:hint="eastAsia"/>
          <w:bCs/>
          <w:kern w:val="0"/>
          <w:szCs w:val="21"/>
        </w:rPr>
        <w:t>这颗钻石由葡萄牙耶稣会士从印度带到罗马，后被托斯卡纳大公购得，作为佛罗伦萨美第奇家族宝库的核心珍品而声名远扬。1737年哈布斯堡-洛林王朝建立时，它被传给未来的神圣罗马帝国皇帝弗朗茨·斯蒂芬，并在几天后随奥地利末代皇帝一同流亡至瑞士。本书详细讲述了这颗钻石——据信在第一次世界大战后被盗或拆解——如何凭借波旁-帕尔马的齐塔皇后的勇气与决心，躲过了无政府主义者和布尔什维克的没收，后来又躲过了希特勒本人的觊觎。</w:t>
      </w:r>
    </w:p>
    <w:p w14:paraId="324D205D">
      <w:pPr>
        <w:ind w:firstLine="420" w:firstLineChars="200"/>
        <w:rPr>
          <w:rFonts w:hint="eastAsia"/>
          <w:bCs/>
          <w:kern w:val="0"/>
          <w:szCs w:val="21"/>
        </w:rPr>
      </w:pPr>
    </w:p>
    <w:p w14:paraId="6180FB91">
      <w:pPr>
        <w:ind w:firstLine="420" w:firstLineChars="200"/>
        <w:rPr>
          <w:rFonts w:hint="eastAsia"/>
          <w:bCs/>
          <w:kern w:val="0"/>
          <w:szCs w:val="21"/>
        </w:rPr>
      </w:pPr>
      <w:r>
        <w:rPr>
          <w:rFonts w:hint="eastAsia"/>
          <w:bCs/>
          <w:kern w:val="0"/>
          <w:szCs w:val="21"/>
        </w:rPr>
        <w:t>《哈布斯堡钻石》追溯了这颗钻石从十六世纪首次有记录以来，直至2025年轰动一时地被重新发现的非凡且充满争议的旅程，展示了它的命运如何与欧洲历史上最有权势的主角们交织在一起。理查德·巴西特凭借对此前未曾披露的哈布斯堡家族文件、日记以及来自布达佩斯、罗马、巴黎、托斯卡纳、维也纳和瑞士的档案材料的独特访问权，撰写了这部引人入胜的历史，揭示了这颗最受追捧的宝石在欧洲历史中的地位。本书首次完整记述了哈布斯堡皇后齐塔如何在饱受战争蹂躏的欧洲保护这颗钻石得以幸存，以及她为何在其丈夫去世后的一百年里确保其存在始终是一个秘密。随着来自意大利、法国和奥地利的归还诉求竞相提出，这颗钻石可能再次陷入国际争议的漩涡，《哈布斯堡钻石》巧妙地梳理了那些将其如此戏剧性地编织进欧洲过往的线索。</w:t>
      </w:r>
    </w:p>
    <w:p w14:paraId="273F4D0C">
      <w:pPr>
        <w:ind w:firstLine="420" w:firstLineChars="200"/>
        <w:rPr>
          <w:rFonts w:hint="eastAsia"/>
          <w:bCs/>
          <w:kern w:val="0"/>
          <w:szCs w:val="21"/>
        </w:rPr>
      </w:pPr>
    </w:p>
    <w:p w14:paraId="1AF47FEB">
      <w:pPr>
        <w:ind w:firstLine="420" w:firstLineChars="200"/>
        <w:rPr>
          <w:rFonts w:hint="eastAsia"/>
          <w:bCs/>
          <w:kern w:val="0"/>
          <w:szCs w:val="21"/>
          <w:lang w:val="en-US" w:eastAsia="zh-CN"/>
        </w:rPr>
      </w:pPr>
    </w:p>
    <w:p w14:paraId="6594C28D">
      <w:pPr>
        <w:ind w:firstLine="420" w:firstLineChars="200"/>
        <w:rPr>
          <w:rFonts w:hint="eastAsia"/>
          <w:bCs/>
          <w:kern w:val="0"/>
          <w:szCs w:val="21"/>
          <w:lang w:val="en-US" w:eastAsia="zh-CN"/>
        </w:rPr>
      </w:pPr>
    </w:p>
    <w:p w14:paraId="4D73E130">
      <w:pPr>
        <w:rPr>
          <w:b/>
          <w:color w:val="000000"/>
          <w:szCs w:val="21"/>
        </w:rPr>
      </w:pPr>
    </w:p>
    <w:p w14:paraId="78C24043">
      <w:pPr>
        <w:rPr>
          <w:b/>
          <w:color w:val="000000"/>
          <w:szCs w:val="21"/>
        </w:rPr>
      </w:pPr>
    </w:p>
    <w:p w14:paraId="1951768D">
      <w:pPr>
        <w:rPr>
          <w:rFonts w:hint="eastAsia"/>
          <w:b/>
          <w:color w:val="000000"/>
          <w:szCs w:val="21"/>
        </w:rPr>
      </w:pPr>
      <w:r>
        <w:rPr>
          <w:b/>
          <w:color w:val="000000"/>
          <w:szCs w:val="21"/>
        </w:rPr>
        <w:t>作者简介：</w:t>
      </w:r>
    </w:p>
    <w:p w14:paraId="67EA0646">
      <w:pPr>
        <w:rPr>
          <w:bCs/>
          <w:color w:val="000000"/>
          <w:szCs w:val="21"/>
        </w:rPr>
      </w:pPr>
    </w:p>
    <w:p w14:paraId="65A7C7E0">
      <w:pPr>
        <w:ind w:right="420" w:firstLine="422" w:firstLineChars="200"/>
        <w:jc w:val="left"/>
        <w:rPr>
          <w:rFonts w:hint="default"/>
          <w:b/>
          <w:bCs/>
          <w:color w:val="000000"/>
          <w:szCs w:val="21"/>
          <w:lang w:val="en-US" w:eastAsia="zh-CN"/>
        </w:rPr>
      </w:pPr>
      <w:r>
        <w:rPr>
          <w:rFonts w:hint="eastAsia"/>
          <w:b/>
          <w:bCs/>
          <w:color w:val="000000"/>
          <w:szCs w:val="21"/>
          <w:lang w:val="en-US" w:eastAsia="zh-CN"/>
        </w:rPr>
        <w:t>理查德·巴西特（</w:t>
      </w:r>
      <w:r>
        <w:rPr>
          <w:rFonts w:hint="eastAsia"/>
          <w:b/>
          <w:bCs/>
          <w:color w:val="000000"/>
          <w:szCs w:val="21"/>
          <w:highlight w:val="none"/>
        </w:rPr>
        <w:t>Richard Bassett</w:t>
      </w:r>
      <w:r>
        <w:rPr>
          <w:rFonts w:hint="eastAsia"/>
          <w:b/>
          <w:bCs/>
          <w:color w:val="000000"/>
          <w:szCs w:val="21"/>
          <w:lang w:val="en-US" w:eastAsia="zh-CN"/>
        </w:rPr>
        <w:t>）</w:t>
      </w:r>
      <w:r>
        <w:rPr>
          <w:rFonts w:hint="eastAsia"/>
          <w:b w:val="0"/>
          <w:bCs w:val="0"/>
          <w:color w:val="000000"/>
          <w:szCs w:val="21"/>
          <w:lang w:val="en-US" w:eastAsia="zh-CN"/>
        </w:rPr>
        <w:t>在剑桥大学学习法律与艺术史后，前往中欧，并于1983年成为卢布尔雅那国家斯洛文尼亚歌剧院的首席圆号手。1985年，他被任命为《泰晤士报》的中欧记者，随后担任东欧记者。他著有多部关于欧洲历史的书籍，包括为艾伦莱恩出版社撰写的《旧欧洲的最后日子》（2019年）。他是剑桥大学基督学院的校外研究员，也是布达佩斯中欧大学的客座教授。</w:t>
      </w:r>
    </w:p>
    <w:p w14:paraId="10811267">
      <w:pPr>
        <w:ind w:right="420"/>
        <w:jc w:val="left"/>
        <w:rPr>
          <w:rFonts w:hint="default"/>
          <w:b/>
          <w:bCs/>
          <w:color w:val="000000"/>
          <w:szCs w:val="21"/>
          <w:lang w:val="en-US" w:eastAsia="zh-CN"/>
        </w:rPr>
      </w:pPr>
    </w:p>
    <w:p w14:paraId="30807C0F">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172A27"/>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89E02F8"/>
    <w:rsid w:val="0A8F3F31"/>
    <w:rsid w:val="0A974783"/>
    <w:rsid w:val="0AC20A24"/>
    <w:rsid w:val="0AEC0364"/>
    <w:rsid w:val="0B255FB2"/>
    <w:rsid w:val="0BD97AC9"/>
    <w:rsid w:val="0C0008F4"/>
    <w:rsid w:val="0C3C7AF6"/>
    <w:rsid w:val="0E6A6913"/>
    <w:rsid w:val="0FEA282E"/>
    <w:rsid w:val="10B63FE7"/>
    <w:rsid w:val="114C2E46"/>
    <w:rsid w:val="13427DB4"/>
    <w:rsid w:val="18AE01D8"/>
    <w:rsid w:val="1BA86C22"/>
    <w:rsid w:val="1D261077"/>
    <w:rsid w:val="1F687700"/>
    <w:rsid w:val="245E466C"/>
    <w:rsid w:val="24771887"/>
    <w:rsid w:val="2C0B6F0E"/>
    <w:rsid w:val="2DA34CE1"/>
    <w:rsid w:val="311566B0"/>
    <w:rsid w:val="341F29BE"/>
    <w:rsid w:val="35FB0213"/>
    <w:rsid w:val="3917559B"/>
    <w:rsid w:val="3AE04ADC"/>
    <w:rsid w:val="3C1934F8"/>
    <w:rsid w:val="406B3CF1"/>
    <w:rsid w:val="42B533F0"/>
    <w:rsid w:val="43092A96"/>
    <w:rsid w:val="432A1201"/>
    <w:rsid w:val="432C279F"/>
    <w:rsid w:val="459C0CF6"/>
    <w:rsid w:val="46B43896"/>
    <w:rsid w:val="473A51A1"/>
    <w:rsid w:val="4AE76519"/>
    <w:rsid w:val="543E2C5B"/>
    <w:rsid w:val="54D63807"/>
    <w:rsid w:val="562B64D0"/>
    <w:rsid w:val="58DF0B08"/>
    <w:rsid w:val="5AB726B1"/>
    <w:rsid w:val="601E082E"/>
    <w:rsid w:val="60B3492E"/>
    <w:rsid w:val="68EE2E29"/>
    <w:rsid w:val="69A93106"/>
    <w:rsid w:val="6AA515D5"/>
    <w:rsid w:val="6ABF12C5"/>
    <w:rsid w:val="6AEB37C3"/>
    <w:rsid w:val="6C615816"/>
    <w:rsid w:val="6CA56A14"/>
    <w:rsid w:val="71E47BC3"/>
    <w:rsid w:val="745C0F51"/>
    <w:rsid w:val="756C1B13"/>
    <w:rsid w:val="77AB543F"/>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984</Words>
  <Characters>1366</Characters>
  <Lines>25</Lines>
  <Paragraphs>7</Paragraphs>
  <TotalTime>27</TotalTime>
  <ScaleCrop>false</ScaleCrop>
  <LinksUpToDate>false</LinksUpToDate>
  <CharactersWithSpaces>1404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2026-05-11T02:58:06Z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