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3917315</wp:posOffset>
            </wp:positionH>
            <wp:positionV relativeFrom="paragraph">
              <wp:posOffset>47625</wp:posOffset>
            </wp:positionV>
            <wp:extent cx="1293495" cy="1952625"/>
            <wp:effectExtent l="0" t="0" r="1905" b="13335"/>
            <wp:wrapSquare wrapText="bothSides"/>
            <wp:docPr id="1" name="图片 39" descr="C:/Users/lenovo/Desktop/屏幕截图 2026-07-13 160801.png屏幕截图 2026-07-13 16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7-13 160801.png屏幕截图 2026-07-13 160801"/>
                    <pic:cNvPicPr>
                      <a:picLocks noChangeAspect="1"/>
                    </pic:cNvPicPr>
                  </pic:nvPicPr>
                  <pic:blipFill>
                    <a:blip r:embed="rId6"/>
                    <a:srcRect l="228" r="228"/>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《兔狩之外》</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I'm Not Here to Hunt Rabbits</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Josh Kendall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G.P. Putnam's Sons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256页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27</w:t>
      </w:r>
      <w:r>
        <w:rPr>
          <w:b/>
          <w:bCs/>
          <w:color w:val="000000"/>
          <w:szCs w:val="21"/>
          <w:highlight w:val="none"/>
        </w:rPr>
        <w:t>年</w:t>
      </w:r>
      <w:r>
        <w:rPr>
          <w:rFonts w:hint="eastAsia"/>
          <w:b/>
          <w:bCs/>
          <w:color w:val="000000"/>
          <w:szCs w:val="21"/>
          <w:highlight w:val="none"/>
          <w:lang w:val="en-US" w:eastAsia="zh-CN"/>
        </w:rPr>
        <w:t>4月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eastAsia="zh-CN"/>
        </w:rPr>
        <w:t>：</w:t>
      </w:r>
      <w:r>
        <w:rPr>
          <w:rFonts w:hint="eastAsia"/>
          <w:b/>
          <w:bCs/>
          <w:szCs w:val="21"/>
          <w:highlight w:val="none"/>
          <w:lang w:val="en-US" w:eastAsia="zh-CN"/>
        </w:rPr>
        <w:t>电子稿</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惊悚悬疑</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1CF27CA5">
      <w:pPr>
        <w:ind w:firstLine="420" w:firstLineChars="200"/>
        <w:rPr>
          <w:rFonts w:hint="eastAsia"/>
          <w:bCs/>
          <w:kern w:val="0"/>
          <w:szCs w:val="21"/>
        </w:rPr>
      </w:pPr>
      <w:r>
        <w:rPr>
          <w:rFonts w:hint="eastAsia"/>
          <w:bCs/>
          <w:kern w:val="0"/>
          <w:szCs w:val="21"/>
        </w:rPr>
        <w:t>来自获奖编辑、穆赫兰道出版社前编辑总监乔什·肯德尔，一部扣人心弦的惊悚小说——一个包裹在间谍惊悚故事中的爱情故事，背景设在东非。</w:t>
      </w:r>
    </w:p>
    <w:p w14:paraId="52260624">
      <w:pPr>
        <w:ind w:firstLine="420" w:firstLineChars="200"/>
        <w:rPr>
          <w:rFonts w:hint="eastAsia"/>
          <w:bCs/>
          <w:kern w:val="0"/>
          <w:szCs w:val="21"/>
        </w:rPr>
      </w:pPr>
    </w:p>
    <w:p w14:paraId="3C185FF9">
      <w:pPr>
        <w:ind w:firstLine="420" w:firstLineChars="200"/>
        <w:rPr>
          <w:rFonts w:hint="eastAsia"/>
          <w:bCs/>
          <w:kern w:val="0"/>
          <w:szCs w:val="21"/>
        </w:rPr>
      </w:pPr>
      <w:r>
        <w:rPr>
          <w:rFonts w:hint="eastAsia"/>
          <w:bCs/>
          <w:kern w:val="0"/>
          <w:szCs w:val="21"/>
        </w:rPr>
        <w:t>如果说前士兵转型为私人安全承包商拉克兰·史密斯懂得一件事，那就是：服从命令。</w:t>
      </w:r>
    </w:p>
    <w:p w14:paraId="19251A3C">
      <w:pPr>
        <w:ind w:firstLine="420" w:firstLineChars="200"/>
        <w:rPr>
          <w:rFonts w:hint="eastAsia"/>
          <w:bCs/>
          <w:kern w:val="0"/>
          <w:szCs w:val="21"/>
        </w:rPr>
      </w:pPr>
    </w:p>
    <w:p w14:paraId="415AA6FA">
      <w:pPr>
        <w:ind w:firstLine="420" w:firstLineChars="200"/>
        <w:rPr>
          <w:rFonts w:hint="eastAsia"/>
          <w:bCs/>
          <w:kern w:val="0"/>
          <w:szCs w:val="21"/>
        </w:rPr>
      </w:pPr>
      <w:r>
        <w:rPr>
          <w:rFonts w:hint="eastAsia"/>
          <w:bCs/>
          <w:kern w:val="0"/>
          <w:szCs w:val="21"/>
        </w:rPr>
        <w:t>在经历了一段残酷的阿富汗任务以及他的前联络人兼情人海伦·格雷的英年早逝之后，史密斯被派往埃塞俄比亚保护一个富裕家庭。他抵达亚的斯亚贝巴时，心碎且满怀疑问——关于海伦的死，关于他们共同承受的那种改变心智的训练，关于“基石”——那个将他们两人招募进来的神秘组织。</w:t>
      </w:r>
    </w:p>
    <w:p w14:paraId="4C8DB650">
      <w:pPr>
        <w:ind w:firstLine="420" w:firstLineChars="200"/>
        <w:rPr>
          <w:rFonts w:hint="eastAsia"/>
          <w:bCs/>
          <w:kern w:val="0"/>
          <w:szCs w:val="21"/>
        </w:rPr>
      </w:pPr>
    </w:p>
    <w:p w14:paraId="2FD6E382">
      <w:pPr>
        <w:ind w:firstLine="420" w:firstLineChars="200"/>
        <w:rPr>
          <w:rFonts w:hint="eastAsia"/>
          <w:bCs/>
          <w:kern w:val="0"/>
          <w:szCs w:val="21"/>
        </w:rPr>
      </w:pPr>
      <w:r>
        <w:rPr>
          <w:rFonts w:hint="eastAsia"/>
          <w:bCs/>
          <w:kern w:val="0"/>
          <w:szCs w:val="21"/>
        </w:rPr>
        <w:t>当史密斯穿梭于塞巴迪家族动荡不安的野心时，他开始意识到，“基石”不仅仅是将像他这样的人部署到混乱之中——它还在塑造混乱本身。而它的资产是可以牺牲的。</w:t>
      </w:r>
    </w:p>
    <w:p w14:paraId="68F910EB">
      <w:pPr>
        <w:ind w:firstLine="420" w:firstLineChars="200"/>
        <w:rPr>
          <w:rFonts w:hint="eastAsia"/>
          <w:bCs/>
          <w:kern w:val="0"/>
          <w:szCs w:val="21"/>
        </w:rPr>
      </w:pPr>
    </w:p>
    <w:p w14:paraId="6E87C3CB">
      <w:pPr>
        <w:ind w:firstLine="420" w:firstLineChars="200"/>
        <w:rPr>
          <w:rFonts w:hint="eastAsia"/>
          <w:bCs/>
          <w:kern w:val="0"/>
          <w:szCs w:val="21"/>
        </w:rPr>
      </w:pPr>
      <w:r>
        <w:rPr>
          <w:rFonts w:hint="eastAsia"/>
          <w:bCs/>
          <w:kern w:val="0"/>
          <w:szCs w:val="21"/>
        </w:rPr>
        <w:t>乔什·肯德尔这部令人惊艳的处女作《兔狩之外》是一部锋利的间谍惊悚小说，也是一座迷宫般的谜盒，探讨了服从的代价、悲伤的重量，以及忠诚那残酷的算计。</w:t>
      </w:r>
    </w:p>
    <w:p w14:paraId="08796525">
      <w:pPr>
        <w:ind w:firstLine="420" w:firstLineChars="200"/>
        <w:rPr>
          <w:rFonts w:hint="eastAsia"/>
          <w:bCs/>
          <w:kern w:val="0"/>
          <w:szCs w:val="21"/>
        </w:rPr>
      </w:pPr>
    </w:p>
    <w:p w14:paraId="5C707B02">
      <w:pPr>
        <w:rPr>
          <w:rFonts w:hint="eastAsia"/>
          <w:b/>
          <w:bCs w:val="0"/>
          <w:kern w:val="0"/>
          <w:szCs w:val="21"/>
          <w:lang w:val="en-US" w:eastAsia="zh-CN"/>
        </w:rPr>
      </w:pPr>
      <w:r>
        <w:rPr>
          <w:rFonts w:hint="eastAsia"/>
          <w:b/>
          <w:bCs w:val="0"/>
          <w:kern w:val="0"/>
          <w:szCs w:val="21"/>
          <w:lang w:val="en-US" w:eastAsia="zh-CN"/>
        </w:rPr>
        <w:t>卖点：</w:t>
      </w:r>
    </w:p>
    <w:p w14:paraId="73B30358">
      <w:pPr>
        <w:ind w:firstLine="420" w:firstLineChars="200"/>
        <w:rPr>
          <w:rFonts w:hint="eastAsia"/>
          <w:bCs/>
          <w:kern w:val="0"/>
          <w:szCs w:val="21"/>
          <w:lang w:val="en-US" w:eastAsia="zh-CN"/>
        </w:rPr>
      </w:pPr>
    </w:p>
    <w:p w14:paraId="796FA520">
      <w:pPr>
        <w:numPr>
          <w:ilvl w:val="0"/>
          <w:numId w:val="2"/>
        </w:numPr>
        <w:ind w:left="420" w:leftChars="0" w:hanging="420" w:firstLineChars="0"/>
        <w:rPr>
          <w:rFonts w:hint="eastAsia"/>
          <w:bCs/>
          <w:kern w:val="0"/>
          <w:szCs w:val="21"/>
          <w:lang w:val="en-US" w:eastAsia="zh-CN"/>
        </w:rPr>
      </w:pPr>
      <w:r>
        <w:rPr>
          <w:rFonts w:hint="eastAsia"/>
          <w:b/>
          <w:bCs w:val="0"/>
          <w:kern w:val="0"/>
          <w:szCs w:val="21"/>
          <w:lang w:val="en-US" w:eastAsia="zh-CN"/>
        </w:rPr>
        <w:t>一部来自业内专家的原创、深刻个人化且引人入胜的惊悚小说：</w:t>
      </w:r>
      <w:r>
        <w:rPr>
          <w:rFonts w:hint="eastAsia"/>
          <w:bCs/>
          <w:kern w:val="0"/>
          <w:szCs w:val="21"/>
          <w:lang w:val="en-US" w:eastAsia="zh-CN"/>
        </w:rPr>
        <w:t>作为穆赫兰道出版社的创始编辑总监，乔什在惊悚/犯罪/悬疑这个类别中浸淫超过十年。他曾策划并出版了无数畅销及获奖作家，从塔娜·弗伦奇、沃尔特·莫斯利到阿提卡·洛克和罗伯特·加尔布雷思。他还曾策划并出版了《纽约时报》排名第一的畅销书《激流男孩》。乔什在这一类型中的深厚知识和专业素养，使他能够为这个世界带来动态而新颖的视角，同时向约翰·勒卡雷和格雷厄姆·格林等大师致敬。而这部小说对乔什而言也是个人化的。他以自己最亲密的童年朋友为原型塑造了拉克兰·史密斯——这位朋友曾是黑水公司的私人安全承包商，目前是一家知名私人安保与军事公司的分析师，为故事带来了无与伦比的真实感。</w:t>
      </w:r>
    </w:p>
    <w:p w14:paraId="25ED97D3">
      <w:pPr>
        <w:ind w:firstLine="420" w:firstLineChars="200"/>
        <w:rPr>
          <w:rFonts w:hint="eastAsia"/>
          <w:bCs/>
          <w:kern w:val="0"/>
          <w:szCs w:val="21"/>
          <w:lang w:val="en-US" w:eastAsia="zh-CN"/>
        </w:rPr>
      </w:pPr>
    </w:p>
    <w:p w14:paraId="43D85EAE">
      <w:pPr>
        <w:numPr>
          <w:ilvl w:val="0"/>
          <w:numId w:val="2"/>
        </w:numPr>
        <w:ind w:left="420" w:leftChars="0" w:hanging="420" w:firstLineChars="0"/>
        <w:rPr>
          <w:rFonts w:hint="eastAsia"/>
          <w:bCs/>
          <w:kern w:val="0"/>
          <w:szCs w:val="21"/>
          <w:lang w:val="en-US" w:eastAsia="zh-CN"/>
        </w:rPr>
      </w:pPr>
      <w:r>
        <w:rPr>
          <w:rFonts w:hint="eastAsia"/>
          <w:b/>
          <w:bCs w:val="0"/>
          <w:kern w:val="0"/>
          <w:szCs w:val="21"/>
          <w:lang w:val="en-US" w:eastAsia="zh-CN"/>
        </w:rPr>
        <w:t>一部来自业内人士的令人爱不释手的处女作：</w:t>
      </w:r>
      <w:r>
        <w:rPr>
          <w:rFonts w:hint="eastAsia"/>
          <w:bCs/>
          <w:kern w:val="0"/>
          <w:szCs w:val="21"/>
          <w:lang w:val="en-US" w:eastAsia="zh-CN"/>
        </w:rPr>
        <w:t>作为近三十年的编辑，乔什拥有广泛的作者、书商、业内人士和媒体人脉网络。我们将利用乔什通过这些关系积累的所有善意，来获取高知名度推荐语、背书和口碑支持。我们很高兴能利用他多年推出畅销小说的经验，为《兔狩之外》打造一场 killer 般的推广活动。</w:t>
      </w:r>
    </w:p>
    <w:p w14:paraId="3535CA5D">
      <w:pPr>
        <w:ind w:firstLine="420" w:firstLineChars="200"/>
        <w:rPr>
          <w:rFonts w:hint="eastAsia"/>
          <w:bCs/>
          <w:kern w:val="0"/>
          <w:szCs w:val="21"/>
          <w:lang w:val="en-US" w:eastAsia="zh-CN"/>
        </w:rPr>
      </w:pPr>
    </w:p>
    <w:p w14:paraId="0DE28C6B">
      <w:pPr>
        <w:numPr>
          <w:ilvl w:val="0"/>
          <w:numId w:val="2"/>
        </w:numPr>
        <w:ind w:left="420" w:leftChars="0" w:hanging="420" w:firstLineChars="0"/>
        <w:rPr>
          <w:rFonts w:hint="eastAsia"/>
          <w:bCs/>
          <w:kern w:val="0"/>
          <w:szCs w:val="21"/>
          <w:lang w:val="en-US" w:eastAsia="zh-CN"/>
        </w:rPr>
      </w:pPr>
      <w:r>
        <w:rPr>
          <w:rFonts w:hint="eastAsia"/>
          <w:b/>
          <w:bCs w:val="0"/>
          <w:kern w:val="0"/>
          <w:szCs w:val="21"/>
          <w:lang w:val="en-US" w:eastAsia="zh-CN"/>
        </w:rPr>
        <w:t>将读者带入尚未被充分开发的惊悚小说目的地——埃塞俄比亚：</w:t>
      </w:r>
      <w:r>
        <w:rPr>
          <w:rFonts w:hint="eastAsia"/>
          <w:bCs/>
          <w:kern w:val="0"/>
          <w:szCs w:val="21"/>
          <w:lang w:val="en-US" w:eastAsia="zh-CN"/>
        </w:rPr>
        <w:t>乔什·肯德尔营造了一种令人惊叹的地域感，在这部质地丰富、沉浸感十足的小说中，将惊悚小说读者带入东非丰富而未被充分探索的世界。乔什曾在埃塞俄比亚和东非广泛旅行，使首都亚的斯亚贝巴在这些书页中栩栩如生。</w:t>
      </w:r>
    </w:p>
    <w:p w14:paraId="1B5FE3BB">
      <w:pPr>
        <w:ind w:firstLine="420" w:firstLineChars="200"/>
        <w:rPr>
          <w:rFonts w:hint="eastAsia"/>
          <w:bCs/>
          <w:kern w:val="0"/>
          <w:szCs w:val="21"/>
          <w:lang w:val="en-US" w:eastAsia="zh-CN"/>
        </w:rPr>
      </w:pPr>
    </w:p>
    <w:p w14:paraId="0230E694">
      <w:pPr>
        <w:numPr>
          <w:ilvl w:val="0"/>
          <w:numId w:val="2"/>
        </w:numPr>
        <w:ind w:left="420" w:leftChars="0" w:hanging="420" w:firstLineChars="0"/>
        <w:rPr>
          <w:rFonts w:hint="eastAsia"/>
          <w:bCs/>
          <w:kern w:val="0"/>
          <w:szCs w:val="21"/>
          <w:lang w:val="en-US" w:eastAsia="zh-CN"/>
        </w:rPr>
      </w:pPr>
      <w:r>
        <w:rPr>
          <w:rFonts w:hint="eastAsia"/>
          <w:b/>
          <w:bCs w:val="0"/>
          <w:kern w:val="0"/>
          <w:szCs w:val="21"/>
          <w:lang w:val="en-US" w:eastAsia="zh-CN"/>
        </w:rPr>
        <w:t>一部令人目眩的双重奏——故事仍在继续：</w:t>
      </w:r>
      <w:r>
        <w:rPr>
          <w:rFonts w:hint="eastAsia"/>
          <w:bCs/>
          <w:kern w:val="0"/>
          <w:szCs w:val="21"/>
          <w:lang w:val="en-US" w:eastAsia="zh-CN"/>
        </w:rPr>
        <w:t>我们以两本书的合约抢先签下了乔什的处女作。第二部小说已经在创作中，设定在《兔狩之外》的世界里，但以海伦的视角展开——为故事提供了全新的视角，并在两本书之间构建了一个令人着迷、必读的叙事。</w:t>
      </w:r>
    </w:p>
    <w:p w14:paraId="5C757DFB">
      <w:pPr>
        <w:ind w:firstLine="420" w:firstLineChars="200"/>
        <w:rPr>
          <w:rFonts w:hint="eastAsia"/>
          <w:bCs/>
          <w:kern w:val="0"/>
          <w:szCs w:val="21"/>
          <w:lang w:val="en-US" w:eastAsia="zh-CN"/>
        </w:rPr>
      </w:pPr>
    </w:p>
    <w:p w14:paraId="4AA8AD88">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7C904509">
      <w:pPr>
        <w:ind w:right="420" w:firstLine="422" w:firstLineChars="200"/>
        <w:jc w:val="left"/>
        <w:rPr>
          <w:rFonts w:hint="eastAsia"/>
          <w:b w:val="0"/>
          <w:bCs w:val="0"/>
          <w:color w:val="000000"/>
          <w:szCs w:val="21"/>
          <w:lang w:val="en-US" w:eastAsia="zh-CN"/>
        </w:rPr>
      </w:pPr>
      <w:r>
        <w:rPr>
          <w:rFonts w:hint="eastAsia"/>
          <w:b/>
          <w:bCs/>
          <w:color w:val="000000"/>
          <w:szCs w:val="21"/>
          <w:lang w:val="en-US" w:eastAsia="zh-CN"/>
        </w:rPr>
        <w:t>乔什·肯德尔（Josh Kendall）</w:t>
      </w:r>
      <w:r>
        <w:rPr>
          <w:rFonts w:hint="eastAsia"/>
          <w:b w:val="0"/>
          <w:bCs w:val="0"/>
          <w:color w:val="000000"/>
          <w:szCs w:val="21"/>
          <w:lang w:val="en-US" w:eastAsia="zh-CN"/>
        </w:rPr>
        <w:t>在华盛顿州塔科马长大，现与家人居住在纽约市。作为超过二十年的图书编辑，他最近参与创建了小布朗出版社旗下享有盛誉的穆赫兰道出版社。他自己的作品曾发表在《锡屋》杂志上，并获得纽约州艺术委员会的研究金。他还曾在爱荷华大学、新学院和布鲁克林学院教授创意写作。</w:t>
      </w:r>
    </w:p>
    <w:p w14:paraId="46D3D0F5">
      <w:pPr>
        <w:ind w:right="420" w:firstLine="420" w:firstLineChars="200"/>
        <w:jc w:val="left"/>
        <w:rPr>
          <w:rFonts w:hint="eastAsia"/>
          <w:b w:val="0"/>
          <w:bCs w:val="0"/>
          <w:color w:val="000000"/>
          <w:szCs w:val="21"/>
          <w:lang w:val="en-US" w:eastAsia="zh-CN"/>
        </w:rPr>
      </w:pPr>
    </w:p>
    <w:p w14:paraId="42A0DBC7">
      <w:pPr>
        <w:ind w:right="420" w:firstLine="420" w:firstLineChars="200"/>
        <w:jc w:val="left"/>
        <w:rPr>
          <w:rFonts w:hint="default"/>
          <w:b w:val="0"/>
          <w:bCs w:val="0"/>
          <w:color w:val="000000"/>
          <w:szCs w:val="21"/>
          <w:lang w:val="en-US" w:eastAsia="zh-CN"/>
        </w:rPr>
      </w:pPr>
    </w:p>
    <w:p w14:paraId="5C0E589B">
      <w:pPr>
        <w:ind w:right="420"/>
        <w:jc w:val="left"/>
        <w:rPr>
          <w:rFonts w:hint="eastAsia"/>
          <w:b/>
          <w:bCs/>
          <w:color w:val="000000"/>
          <w:szCs w:val="21"/>
          <w:lang w:val="en-US" w:eastAsia="zh-CN"/>
        </w:rPr>
      </w:pPr>
      <w:r>
        <w:rPr>
          <w:rFonts w:hint="eastAsia"/>
          <w:b/>
          <w:bCs/>
          <w:color w:val="000000"/>
          <w:szCs w:val="21"/>
          <w:lang w:val="en-US" w:eastAsia="zh-CN"/>
        </w:rPr>
        <w:t>媒体评价：</w:t>
      </w:r>
    </w:p>
    <w:p w14:paraId="6A40CA59">
      <w:pPr>
        <w:ind w:right="420"/>
        <w:jc w:val="left"/>
        <w:rPr>
          <w:rFonts w:hint="eastAsia"/>
          <w:b w:val="0"/>
          <w:bCs w:val="0"/>
          <w:color w:val="000000"/>
          <w:szCs w:val="21"/>
          <w:lang w:val="en-US" w:eastAsia="zh-CN"/>
        </w:rPr>
      </w:pPr>
    </w:p>
    <w:p w14:paraId="4CBCD179">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“一部令人迷幻的狂热梦境般的国际惊悚小说，设定在一个无人表里如一的世界——士兵和保镖演变成雇佣兵和刺客，商人演变成冷酷无情的寡头，而对安全的追求本身就是危险本身。”</w:t>
      </w:r>
    </w:p>
    <w:p w14:paraId="7E5FB59B">
      <w:pPr>
        <w:ind w:right="420"/>
        <w:jc w:val="right"/>
        <w:rPr>
          <w:rFonts w:hint="default"/>
          <w:b w:val="0"/>
          <w:bCs w:val="0"/>
          <w:color w:val="000000"/>
          <w:szCs w:val="21"/>
          <w:lang w:val="en-US" w:eastAsia="zh-CN"/>
        </w:rPr>
      </w:pPr>
      <w:r>
        <w:rPr>
          <w:rFonts w:hint="default"/>
          <w:b w:val="0"/>
          <w:bCs w:val="0"/>
          <w:color w:val="000000"/>
          <w:szCs w:val="21"/>
          <w:lang w:val="en-US" w:eastAsia="zh-CN"/>
        </w:rPr>
        <w:t>——克里斯·帕沃内，《门卫》畅销书作者</w:t>
      </w:r>
    </w:p>
    <w:p w14:paraId="2E2EB511">
      <w:pPr>
        <w:ind w:right="420"/>
        <w:jc w:val="left"/>
        <w:rPr>
          <w:rFonts w:hint="default"/>
          <w:b w:val="0"/>
          <w:bCs w:val="0"/>
          <w:color w:val="000000"/>
          <w:szCs w:val="21"/>
          <w:lang w:val="en-US" w:eastAsia="zh-CN"/>
        </w:rPr>
      </w:pPr>
    </w:p>
    <w:p w14:paraId="60D19873">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w:t>
      </w:r>
      <w:r>
        <w:rPr>
          <w:rFonts w:hint="eastAsia"/>
          <w:bCs/>
          <w:kern w:val="0"/>
          <w:szCs w:val="21"/>
          <w:lang w:val="en-US" w:eastAsia="zh-CN"/>
        </w:rPr>
        <w:t>兔狩之外</w:t>
      </w:r>
      <w:r>
        <w:rPr>
          <w:rFonts w:hint="default"/>
          <w:b w:val="0"/>
          <w:bCs w:val="0"/>
          <w:color w:val="000000"/>
          <w:szCs w:val="21"/>
          <w:lang w:val="en-US" w:eastAsia="zh-CN"/>
        </w:rPr>
        <w:t>》是一部聪明、紧凑的间谍小说，美妙地呼应了约翰·勒卡雷和格雷厄姆·格林等大师。乔什·肯德尔的小说开辟了属于自己的物质与情感疆域，走入了其他作家尚未准备涉足的地方。作为读者，我们欣喜地迷失在简洁而富有感官触动的散文所描绘的不断变幻的土地与风景之间。”</w:t>
      </w:r>
    </w:p>
    <w:p w14:paraId="4D63CF6F">
      <w:pPr>
        <w:ind w:right="420"/>
        <w:jc w:val="right"/>
        <w:rPr>
          <w:rFonts w:hint="default"/>
          <w:b w:val="0"/>
          <w:bCs w:val="0"/>
          <w:color w:val="000000"/>
          <w:szCs w:val="21"/>
          <w:lang w:val="en-US" w:eastAsia="zh-CN"/>
        </w:rPr>
      </w:pPr>
      <w:r>
        <w:rPr>
          <w:rFonts w:hint="default"/>
          <w:b w:val="0"/>
          <w:bCs w:val="0"/>
          <w:color w:val="000000"/>
          <w:szCs w:val="21"/>
          <w:lang w:val="en-US" w:eastAsia="zh-CN"/>
        </w:rPr>
        <w:t>——科勒姆·麦凯恩，美国国家图书奖获奖作品《让伟大的世界旋转》作者</w:t>
      </w:r>
    </w:p>
    <w:p w14:paraId="462EAE6C">
      <w:pPr>
        <w:ind w:right="420"/>
        <w:jc w:val="left"/>
        <w:rPr>
          <w:rFonts w:hint="default"/>
          <w:b w:val="0"/>
          <w:bCs w:val="0"/>
          <w:color w:val="000000"/>
          <w:szCs w:val="21"/>
          <w:lang w:val="en-US" w:eastAsia="zh-CN"/>
        </w:rPr>
      </w:pPr>
    </w:p>
    <w:p w14:paraId="065B43A4">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“我昨晚开始读这本书，今天早上就读完了。是的，《</w:t>
      </w:r>
      <w:r>
        <w:rPr>
          <w:rFonts w:hint="eastAsia"/>
          <w:bCs/>
          <w:kern w:val="0"/>
          <w:szCs w:val="21"/>
          <w:lang w:val="en-US" w:eastAsia="zh-CN"/>
        </w:rPr>
        <w:t>兔狩之外</w:t>
      </w:r>
      <w:r>
        <w:rPr>
          <w:rFonts w:hint="default"/>
          <w:b w:val="0"/>
          <w:bCs w:val="0"/>
          <w:color w:val="000000"/>
          <w:szCs w:val="21"/>
          <w:lang w:val="en-US" w:eastAsia="zh-CN"/>
        </w:rPr>
        <w:t>》很怪异，极其紧张，令人毛骨悚然且不可预测。但它也是一次关于风险与遗憾的令人难忘的体验。它让我想象自己正陪着兰波在阿比西尼亚为梅</w:t>
      </w:r>
      <w:bookmarkStart w:id="1" w:name="_GoBack"/>
      <w:bookmarkEnd w:id="1"/>
      <w:r>
        <w:rPr>
          <w:rFonts w:hint="default"/>
          <w:b w:val="0"/>
          <w:bCs w:val="0"/>
          <w:color w:val="000000"/>
          <w:szCs w:val="21"/>
          <w:lang w:val="en-US" w:eastAsia="zh-CN"/>
        </w:rPr>
        <w:t>内利克国王运送军火。”</w:t>
      </w:r>
    </w:p>
    <w:p w14:paraId="358D395B">
      <w:pPr>
        <w:ind w:right="420"/>
        <w:jc w:val="right"/>
        <w:rPr>
          <w:rFonts w:hint="default"/>
          <w:b/>
          <w:bCs/>
          <w:color w:val="000000"/>
          <w:szCs w:val="21"/>
          <w:lang w:val="en-US" w:eastAsia="zh-CN"/>
        </w:rPr>
      </w:pPr>
      <w:r>
        <w:rPr>
          <w:rFonts w:hint="default"/>
          <w:b w:val="0"/>
          <w:bCs w:val="0"/>
          <w:color w:val="000000"/>
          <w:szCs w:val="21"/>
          <w:lang w:val="en-US" w:eastAsia="zh-CN"/>
        </w:rPr>
        <w:t>——巴里·吉福德，《我心狂野》作者、《妖夜慌踪》编剧、黑蜥蜴出版社创始人</w:t>
      </w:r>
    </w:p>
    <w:p w14:paraId="6C46C7C0">
      <w:pPr>
        <w:ind w:right="420"/>
        <w:jc w:val="left"/>
        <w:rPr>
          <w:rFonts w:hint="default"/>
          <w:b/>
          <w:bCs/>
          <w:color w:val="000000"/>
          <w:szCs w:val="21"/>
          <w:lang w:val="en-US" w:eastAsia="zh-CN"/>
        </w:rPr>
      </w:pPr>
    </w:p>
    <w:p w14:paraId="74FE79AF">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5B7D8"/>
    <w:multiLevelType w:val="singleLevel"/>
    <w:tmpl w:val="1585B7D8"/>
    <w:lvl w:ilvl="0" w:tentative="0">
      <w:start w:val="1"/>
      <w:numFmt w:val="bullet"/>
      <w:lvlText w:val=""/>
      <w:lvlJc w:val="left"/>
      <w:pPr>
        <w:ind w:left="420" w:hanging="420"/>
      </w:pPr>
      <w:rPr>
        <w:rFonts w:hint="default" w:ascii="Wingdings" w:hAnsi="Wingdings"/>
      </w:rPr>
    </w:lvl>
  </w:abstractNum>
  <w:abstractNum w:abstractNumId="1">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86300"/>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2F079B0"/>
    <w:rsid w:val="043D6C25"/>
    <w:rsid w:val="09811342"/>
    <w:rsid w:val="0A8F3F31"/>
    <w:rsid w:val="0A974783"/>
    <w:rsid w:val="0AC20A24"/>
    <w:rsid w:val="0AEC0364"/>
    <w:rsid w:val="0C0008F4"/>
    <w:rsid w:val="0C3C7AF6"/>
    <w:rsid w:val="0E6A6913"/>
    <w:rsid w:val="0FEA282E"/>
    <w:rsid w:val="10B63FE7"/>
    <w:rsid w:val="114C2E46"/>
    <w:rsid w:val="129E71D0"/>
    <w:rsid w:val="13427DB4"/>
    <w:rsid w:val="1345104A"/>
    <w:rsid w:val="18AE01D8"/>
    <w:rsid w:val="1BA86C22"/>
    <w:rsid w:val="1D261077"/>
    <w:rsid w:val="1E8E669D"/>
    <w:rsid w:val="1F687700"/>
    <w:rsid w:val="24771887"/>
    <w:rsid w:val="2C0B6F0E"/>
    <w:rsid w:val="2C12461C"/>
    <w:rsid w:val="2DA34CE1"/>
    <w:rsid w:val="30F6550C"/>
    <w:rsid w:val="311566B0"/>
    <w:rsid w:val="341F29BE"/>
    <w:rsid w:val="34515BD6"/>
    <w:rsid w:val="354437D3"/>
    <w:rsid w:val="35FB0213"/>
    <w:rsid w:val="37704640"/>
    <w:rsid w:val="3AC54CA3"/>
    <w:rsid w:val="3AE04ADC"/>
    <w:rsid w:val="3C1934F8"/>
    <w:rsid w:val="3D384F8E"/>
    <w:rsid w:val="3E7A5DA4"/>
    <w:rsid w:val="406B3CF1"/>
    <w:rsid w:val="4205007B"/>
    <w:rsid w:val="42B533F0"/>
    <w:rsid w:val="432A1201"/>
    <w:rsid w:val="432C279F"/>
    <w:rsid w:val="459C0CF6"/>
    <w:rsid w:val="46B43896"/>
    <w:rsid w:val="473A51A1"/>
    <w:rsid w:val="4795137D"/>
    <w:rsid w:val="479E019E"/>
    <w:rsid w:val="4AE76519"/>
    <w:rsid w:val="543E2C5B"/>
    <w:rsid w:val="550152DB"/>
    <w:rsid w:val="584963F2"/>
    <w:rsid w:val="58C85C32"/>
    <w:rsid w:val="58DF0B08"/>
    <w:rsid w:val="5AB726B1"/>
    <w:rsid w:val="5DA14CA4"/>
    <w:rsid w:val="5EF440A3"/>
    <w:rsid w:val="5F063C4E"/>
    <w:rsid w:val="601E082E"/>
    <w:rsid w:val="60B3492E"/>
    <w:rsid w:val="624F2F20"/>
    <w:rsid w:val="662D5AA5"/>
    <w:rsid w:val="68EE2E29"/>
    <w:rsid w:val="69A93106"/>
    <w:rsid w:val="6AA515D5"/>
    <w:rsid w:val="6ABF12C5"/>
    <w:rsid w:val="6AEB37C3"/>
    <w:rsid w:val="6B2D5DC9"/>
    <w:rsid w:val="6C615816"/>
    <w:rsid w:val="6CA56A14"/>
    <w:rsid w:val="6DE5298B"/>
    <w:rsid w:val="71E47BC3"/>
    <w:rsid w:val="720C74CA"/>
    <w:rsid w:val="745C0F51"/>
    <w:rsid w:val="756C1B13"/>
    <w:rsid w:val="77243AD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1861</Words>
  <Characters>2191</Characters>
  <Lines>25</Lines>
  <Paragraphs>7</Paragraphs>
  <TotalTime>2</TotalTime>
  <ScaleCrop>false</ScaleCrop>
  <LinksUpToDate>false</LinksUpToDate>
  <CharactersWithSpaces>2226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2026-07-17T01:53:53Z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