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CA1E6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214120" cy="1903730"/>
            <wp:effectExtent l="0" t="0" r="5080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1314E">
        <w:rPr>
          <w:b/>
          <w:szCs w:val="21"/>
        </w:rPr>
        <w:t>艺术如何塑造我们：哲学探析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CA1E62">
        <w:rPr>
          <w:rFonts w:hint="eastAsia"/>
          <w:b/>
          <w:szCs w:val="21"/>
        </w:rPr>
        <w:t>H</w:t>
      </w:r>
      <w:r w:rsidR="00CA1E62">
        <w:rPr>
          <w:b/>
          <w:szCs w:val="21"/>
        </w:rPr>
        <w:t>OW ART TRANSFORMS US: A Philosophical Inquiry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A1E62">
        <w:rPr>
          <w:rFonts w:hint="eastAsia"/>
          <w:b/>
          <w:color w:val="000000"/>
          <w:szCs w:val="21"/>
        </w:rPr>
        <w:t>A</w:t>
      </w:r>
      <w:r w:rsidR="00CA1E62">
        <w:rPr>
          <w:b/>
          <w:color w:val="000000"/>
          <w:szCs w:val="21"/>
        </w:rPr>
        <w:t xml:space="preserve">ntony </w:t>
      </w:r>
      <w:proofErr w:type="spellStart"/>
      <w:r w:rsidR="00CA1E62">
        <w:rPr>
          <w:b/>
          <w:color w:val="000000"/>
          <w:szCs w:val="21"/>
        </w:rPr>
        <w:t>Aumann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A1E62">
        <w:rPr>
          <w:rFonts w:hint="eastAsia"/>
          <w:b/>
          <w:color w:val="000000"/>
          <w:szCs w:val="21"/>
        </w:rPr>
        <w:t>B</w:t>
      </w:r>
      <w:r w:rsidR="00CA1E62">
        <w:rPr>
          <w:b/>
          <w:color w:val="000000"/>
          <w:szCs w:val="21"/>
        </w:rPr>
        <w:t>loomsbury Academic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CA1E62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CA1E62">
        <w:rPr>
          <w:rFonts w:hint="eastAsia"/>
          <w:b/>
          <w:color w:val="000000"/>
          <w:szCs w:val="21"/>
        </w:rPr>
        <w:t>2</w:t>
      </w:r>
      <w:r w:rsidR="00CA1E62">
        <w:rPr>
          <w:b/>
          <w:color w:val="000000"/>
          <w:szCs w:val="21"/>
        </w:rPr>
        <w:t>48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CA1E62">
        <w:rPr>
          <w:rFonts w:hint="eastAsia"/>
          <w:b/>
          <w:color w:val="000000"/>
          <w:szCs w:val="21"/>
        </w:rPr>
        <w:t>2</w:t>
      </w:r>
      <w:r w:rsidR="00CA1E6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CA1E62">
        <w:rPr>
          <w:rFonts w:hint="eastAsia"/>
          <w:b/>
          <w:color w:val="000000"/>
          <w:szCs w:val="21"/>
        </w:rPr>
        <w:t>1</w:t>
      </w:r>
      <w:r w:rsidR="00CA1E62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1314E">
        <w:rPr>
          <w:b/>
          <w:color w:val="000000"/>
          <w:szCs w:val="21"/>
        </w:rPr>
        <w:t>大众哲学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Pr="007B117C" w:rsidRDefault="004209F2" w:rsidP="004209F2">
      <w:pPr>
        <w:rPr>
          <w:color w:val="000000"/>
          <w:szCs w:val="21"/>
        </w:rPr>
      </w:pPr>
    </w:p>
    <w:p w:rsidR="004209F2" w:rsidRPr="007B117C" w:rsidRDefault="00CA1E62">
      <w:pPr>
        <w:rPr>
          <w:b/>
          <w:color w:val="000000"/>
        </w:rPr>
      </w:pPr>
      <w:r w:rsidRPr="007B117C">
        <w:rPr>
          <w:color w:val="000000"/>
        </w:rPr>
        <w:tab/>
      </w:r>
      <w:r w:rsidRPr="007B117C">
        <w:rPr>
          <w:b/>
          <w:color w:val="000000"/>
        </w:rPr>
        <w:t>艺术能否将美塑造成真理，以此来颠倒我们的生活？</w:t>
      </w:r>
    </w:p>
    <w:p w:rsidR="00CA1E62" w:rsidRPr="007B117C" w:rsidRDefault="00CA1E62">
      <w:pPr>
        <w:rPr>
          <w:color w:val="000000"/>
        </w:rPr>
      </w:pPr>
    </w:p>
    <w:p w:rsidR="00CA1E62" w:rsidRPr="007B117C" w:rsidRDefault="00CA1E62">
      <w:pPr>
        <w:rPr>
          <w:color w:val="000000"/>
        </w:rPr>
      </w:pPr>
      <w:r w:rsidRPr="007B117C">
        <w:rPr>
          <w:color w:val="000000"/>
        </w:rPr>
        <w:tab/>
      </w:r>
      <w:r w:rsidRPr="007B117C">
        <w:rPr>
          <w:color w:val="000000"/>
        </w:rPr>
        <w:t>《艺术如何塑造我们》一书揭示了艺术塑造人类的底层逻辑。电影、小说、歌曲远不止娱乐人们，它们激励人们辞去工作、培养爱好、开启新的职业生涯、</w:t>
      </w:r>
      <w:r w:rsidR="007B117C" w:rsidRPr="007B117C">
        <w:rPr>
          <w:color w:val="000000"/>
        </w:rPr>
        <w:t>重新思考为人父母的意义，或是积极参与政治活动。</w:t>
      </w:r>
    </w:p>
    <w:p w:rsidR="007B117C" w:rsidRPr="007B117C" w:rsidRDefault="007B117C">
      <w:pPr>
        <w:rPr>
          <w:color w:val="000000"/>
        </w:rPr>
      </w:pPr>
    </w:p>
    <w:p w:rsidR="007B117C" w:rsidRDefault="007B117C">
      <w:pPr>
        <w:rPr>
          <w:rFonts w:ascii="宋体" w:hAnsi="宋体" w:cs="宋体"/>
          <w:color w:val="000000"/>
        </w:rPr>
      </w:pPr>
      <w:r w:rsidRPr="007B117C">
        <w:rPr>
          <w:color w:val="000000"/>
        </w:rPr>
        <w:tab/>
      </w:r>
      <w:r w:rsidRPr="007B117C">
        <w:rPr>
          <w:color w:val="000000"/>
        </w:rPr>
        <w:t>奥</w:t>
      </w:r>
      <w:proofErr w:type="gramStart"/>
      <w:r w:rsidRPr="007B117C">
        <w:rPr>
          <w:color w:val="000000"/>
        </w:rPr>
        <w:t>曼</w:t>
      </w:r>
      <w:proofErr w:type="gramEnd"/>
      <w:r w:rsidRPr="007B117C">
        <w:rPr>
          <w:color w:val="000000"/>
        </w:rPr>
        <w:t>提出，艺术并不总是坦诚直白。它可以利用美、幽默或是惊恐元素，以带有误导性的视角去诠释拳击、徒步、母职与社会行动。更值得警惕的是，艺术会让我们混淆审美倾向与真正的洞察力。</w:t>
      </w:r>
      <w:r w:rsidRPr="007B117C">
        <w:rPr>
          <w:rFonts w:hint="eastAsia"/>
          <w:color w:val="000000"/>
        </w:rPr>
        <w:t>奥</w:t>
      </w:r>
      <w:proofErr w:type="gramStart"/>
      <w:r w:rsidRPr="007B117C">
        <w:rPr>
          <w:rFonts w:hint="eastAsia"/>
          <w:color w:val="000000"/>
        </w:rPr>
        <w:t>曼</w:t>
      </w:r>
      <w:proofErr w:type="gramEnd"/>
      <w:r w:rsidRPr="007B117C">
        <w:rPr>
          <w:rFonts w:hint="eastAsia"/>
          <w:color w:val="000000"/>
        </w:rPr>
        <w:t>以《洛奇》（</w:t>
      </w:r>
      <w:r w:rsidRPr="007B117C">
        <w:rPr>
          <w:rFonts w:hint="eastAsia"/>
          <w:i/>
          <w:color w:val="000000"/>
        </w:rPr>
        <w:t>Rocky</w:t>
      </w:r>
      <w:r w:rsidRPr="007B117C">
        <w:rPr>
          <w:rFonts w:hint="eastAsia"/>
          <w:color w:val="000000"/>
        </w:rPr>
        <w:t>）《熊家餐馆》（</w:t>
      </w:r>
      <w:r w:rsidRPr="007B117C">
        <w:rPr>
          <w:rFonts w:hint="eastAsia"/>
          <w:i/>
          <w:color w:val="000000"/>
        </w:rPr>
        <w:t>The</w:t>
      </w:r>
      <w:r w:rsidRPr="007B117C">
        <w:rPr>
          <w:i/>
          <w:color w:val="000000"/>
        </w:rPr>
        <w:t xml:space="preserve"> Bear</w:t>
      </w:r>
      <w:r w:rsidRPr="007B117C">
        <w:rPr>
          <w:color w:val="000000"/>
        </w:rPr>
        <w:t>）</w:t>
      </w:r>
      <w:r w:rsidRPr="007B117C">
        <w:rPr>
          <w:rFonts w:hint="eastAsia"/>
          <w:color w:val="000000"/>
        </w:rPr>
        <w:t>、蕾切尔</w:t>
      </w:r>
      <w:r w:rsidRPr="007B117C">
        <w:rPr>
          <w:rFonts w:ascii="MS Gothic" w:hAnsi="MS Gothic" w:cs="MS Gothic"/>
          <w:color w:val="000000"/>
        </w:rPr>
        <w:t>・</w:t>
      </w:r>
      <w:r w:rsidRPr="007B117C">
        <w:rPr>
          <w:rFonts w:ascii="宋体" w:hAnsi="宋体" w:cs="宋体" w:hint="eastAsia"/>
          <w:color w:val="000000"/>
        </w:rPr>
        <w:t>约德（</w:t>
      </w:r>
      <w:r w:rsidRPr="007B117C">
        <w:rPr>
          <w:color w:val="000000"/>
        </w:rPr>
        <w:t>Rachel Yoder</w:t>
      </w:r>
      <w:r w:rsidRPr="007B117C">
        <w:rPr>
          <w:rFonts w:ascii="宋体" w:hAnsi="宋体" w:cs="宋体"/>
          <w:color w:val="000000"/>
        </w:rPr>
        <w:t>）</w:t>
      </w:r>
      <w:r w:rsidRPr="007B117C">
        <w:rPr>
          <w:rFonts w:ascii="宋体" w:hAnsi="宋体" w:cs="宋体" w:hint="eastAsia"/>
          <w:color w:val="000000"/>
        </w:rPr>
        <w:t>的《夜母》（</w:t>
      </w:r>
      <w:proofErr w:type="spellStart"/>
      <w:r w:rsidRPr="007B117C">
        <w:rPr>
          <w:i/>
          <w:color w:val="000000"/>
        </w:rPr>
        <w:t>Nightbitch</w:t>
      </w:r>
      <w:proofErr w:type="spellEnd"/>
      <w:r w:rsidRPr="007B117C">
        <w:rPr>
          <w:rFonts w:ascii="宋体" w:hAnsi="宋体" w:cs="宋体" w:hint="eastAsia"/>
          <w:color w:val="000000"/>
        </w:rPr>
        <w:t>）、气候变化主题装置艺术以及社会运动表情包等案例展开论述，阐明艺术无需仅仅依靠理性推演与论证，便能改变我们。</w:t>
      </w:r>
    </w:p>
    <w:p w:rsidR="007B117C" w:rsidRDefault="007B117C">
      <w:pPr>
        <w:rPr>
          <w:rFonts w:ascii="宋体" w:hAnsi="宋体" w:cs="宋体"/>
          <w:color w:val="000000"/>
        </w:rPr>
      </w:pPr>
    </w:p>
    <w:p w:rsidR="007B117C" w:rsidRPr="007B117C" w:rsidRDefault="007B117C">
      <w:pPr>
        <w:rPr>
          <w:color w:val="000000"/>
        </w:rPr>
      </w:pPr>
      <w:r>
        <w:rPr>
          <w:rFonts w:ascii="宋体" w:hAnsi="宋体" w:cs="宋体"/>
          <w:color w:val="000000"/>
        </w:rPr>
        <w:tab/>
        <w:t>由此引发出了一个令人不安的结论：艺术会误导我们，削弱我们的判断力。然而，事情并不是完全糟糕。艺术也能帮助人们发觉更多有意义的生活方式。《艺术如何塑造我们》一书阐明：我们不应该完全否认艺术带给人的影响。尽管</w:t>
      </w:r>
      <w:r w:rsidR="00E06508">
        <w:rPr>
          <w:rFonts w:ascii="宋体" w:hAnsi="宋体" w:cs="宋体"/>
          <w:color w:val="000000"/>
        </w:rPr>
        <w:t>它暗藏风险，但是如果能够积极利用艺术的力量，我们的生活会愈加美好。</w:t>
      </w:r>
    </w:p>
    <w:p w:rsidR="00CA1E62" w:rsidRDefault="00CA1E62">
      <w:pPr>
        <w:rPr>
          <w:b/>
          <w:color w:val="000000"/>
        </w:rPr>
      </w:pPr>
    </w:p>
    <w:p w:rsidR="00E06508" w:rsidRDefault="00E06508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CA1E62" w:rsidRPr="00E06508" w:rsidRDefault="00E06508" w:rsidP="00E06508">
      <w:pPr>
        <w:ind w:firstLine="420"/>
        <w:rPr>
          <w:color w:val="000000"/>
          <w:szCs w:val="21"/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23854</wp:posOffset>
            </wp:positionV>
            <wp:extent cx="1001395" cy="1357630"/>
            <wp:effectExtent l="0" t="0" r="825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027" cy="1363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06508">
        <w:rPr>
          <w:rFonts w:hint="eastAsia"/>
          <w:b/>
          <w:color w:val="000000"/>
          <w:szCs w:val="21"/>
          <w:lang w:val="en"/>
        </w:rPr>
        <w:t>安东尼</w:t>
      </w:r>
      <w:r w:rsidRPr="00E06508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E06508">
        <w:rPr>
          <w:rFonts w:ascii="宋体" w:hAnsi="宋体" w:cs="宋体" w:hint="eastAsia"/>
          <w:b/>
          <w:color w:val="000000"/>
          <w:szCs w:val="21"/>
          <w:lang w:val="en"/>
        </w:rPr>
        <w:t>奥</w:t>
      </w:r>
      <w:proofErr w:type="gramStart"/>
      <w:r w:rsidRPr="00E06508">
        <w:rPr>
          <w:rFonts w:ascii="宋体" w:hAnsi="宋体" w:cs="宋体" w:hint="eastAsia"/>
          <w:b/>
          <w:color w:val="000000"/>
          <w:szCs w:val="21"/>
          <w:lang w:val="en"/>
        </w:rPr>
        <w:t>曼</w:t>
      </w:r>
      <w:proofErr w:type="gramEnd"/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E06508">
        <w:rPr>
          <w:b/>
          <w:color w:val="000000"/>
          <w:szCs w:val="21"/>
          <w:lang w:val="en"/>
        </w:rPr>
        <w:t xml:space="preserve">Antony </w:t>
      </w:r>
      <w:proofErr w:type="spellStart"/>
      <w:r w:rsidRPr="00E06508">
        <w:rPr>
          <w:b/>
          <w:color w:val="000000"/>
          <w:szCs w:val="21"/>
          <w:lang w:val="en"/>
        </w:rPr>
        <w:t>Aumann</w:t>
      </w:r>
      <w:proofErr w:type="spellEnd"/>
      <w:r>
        <w:rPr>
          <w:rFonts w:ascii="宋体" w:hAnsi="宋体" w:cs="宋体"/>
          <w:b/>
          <w:color w:val="000000"/>
          <w:szCs w:val="21"/>
          <w:lang w:val="en"/>
        </w:rPr>
        <w:t>）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现</w:t>
      </w:r>
      <w:proofErr w:type="gramStart"/>
      <w:r w:rsidRPr="00E06508">
        <w:rPr>
          <w:rFonts w:ascii="宋体" w:hAnsi="宋体" w:cs="宋体" w:hint="eastAsia"/>
          <w:color w:val="000000"/>
          <w:szCs w:val="21"/>
          <w:lang w:val="en"/>
        </w:rPr>
        <w:t>为北密歇</w:t>
      </w:r>
      <w:proofErr w:type="gramEnd"/>
      <w:r w:rsidRPr="00E06508">
        <w:rPr>
          <w:rFonts w:ascii="宋体" w:hAnsi="宋体" w:cs="宋体" w:hint="eastAsia"/>
          <w:color w:val="000000"/>
          <w:szCs w:val="21"/>
          <w:lang w:val="en"/>
        </w:rPr>
        <w:t>根大学哲学副教授。他曾先后任职于俄亥俄州立大学、圣奥拉夫学院以及位于布朗克斯的福特汉姆大学。奥</w:t>
      </w:r>
      <w:proofErr w:type="gramStart"/>
      <w:r w:rsidRPr="00E06508">
        <w:rPr>
          <w:rFonts w:ascii="宋体" w:hAnsi="宋体" w:cs="宋体" w:hint="eastAsia"/>
          <w:color w:val="000000"/>
          <w:szCs w:val="21"/>
          <w:lang w:val="en"/>
        </w:rPr>
        <w:t>曼</w:t>
      </w:r>
      <w:proofErr w:type="gramEnd"/>
      <w:r w:rsidRPr="00E06508">
        <w:rPr>
          <w:rFonts w:ascii="宋体" w:hAnsi="宋体" w:cs="宋体" w:hint="eastAsia"/>
          <w:color w:val="000000"/>
          <w:szCs w:val="21"/>
          <w:lang w:val="en"/>
        </w:rPr>
        <w:t>的研究兼顾欧陆哲学传统与分析哲学传统，主攻美学、存在主义与宗教相关议题。其学术成果刊发于多部期刊与论文集，包括《克尔凯郭尔思想》</w:t>
      </w:r>
      <w:r>
        <w:rPr>
          <w:rFonts w:ascii="宋体" w:hAnsi="宋体" w:cs="宋体" w:hint="eastAsia"/>
          <w:color w:val="000000"/>
          <w:szCs w:val="21"/>
          <w:lang w:val="en"/>
        </w:rPr>
        <w:t>（</w:t>
      </w:r>
      <w:r w:rsidRPr="00E06508">
        <w:rPr>
          <w:i/>
          <w:color w:val="000000"/>
          <w:szCs w:val="21"/>
          <w:lang w:val="en"/>
        </w:rPr>
        <w:t xml:space="preserve">The </w:t>
      </w:r>
      <w:proofErr w:type="spellStart"/>
      <w:r w:rsidRPr="00E06508">
        <w:rPr>
          <w:i/>
          <w:color w:val="000000"/>
          <w:szCs w:val="21"/>
          <w:lang w:val="en"/>
        </w:rPr>
        <w:t>Kierkegaardian</w:t>
      </w:r>
      <w:proofErr w:type="spellEnd"/>
      <w:r w:rsidRPr="00E06508">
        <w:rPr>
          <w:i/>
          <w:color w:val="000000"/>
          <w:szCs w:val="21"/>
          <w:lang w:val="en"/>
        </w:rPr>
        <w:t xml:space="preserve"> Mind</w:t>
      </w:r>
      <w:r>
        <w:rPr>
          <w:rFonts w:ascii="宋体" w:hAnsi="宋体" w:cs="宋体"/>
          <w:color w:val="000000"/>
          <w:szCs w:val="21"/>
          <w:lang w:val="en"/>
        </w:rPr>
        <w:t>）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《美学与艺术批评期刊》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r w:rsidRPr="00E06508">
        <w:rPr>
          <w:i/>
          <w:color w:val="000000"/>
          <w:szCs w:val="21"/>
          <w:lang w:val="en"/>
        </w:rPr>
        <w:t>Journal of Aesthetics and Art Criticism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《欧陆哲学评论》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r w:rsidRPr="00E06508">
        <w:rPr>
          <w:i/>
          <w:color w:val="000000"/>
          <w:szCs w:val="21"/>
          <w:lang w:val="en"/>
        </w:rPr>
        <w:t>Contine</w:t>
      </w:r>
      <w:r>
        <w:rPr>
          <w:i/>
          <w:color w:val="000000"/>
          <w:szCs w:val="21"/>
          <w:lang w:val="en"/>
        </w:rPr>
        <w:t>n</w:t>
      </w:r>
      <w:r w:rsidRPr="00E06508">
        <w:rPr>
          <w:i/>
          <w:color w:val="000000"/>
          <w:szCs w:val="21"/>
          <w:lang w:val="en"/>
        </w:rPr>
        <w:t>tal Philosophy Review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《海斯罗普期刊》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proofErr w:type="spellStart"/>
      <w:r w:rsidRPr="00E06508">
        <w:rPr>
          <w:i/>
          <w:color w:val="000000"/>
          <w:szCs w:val="21"/>
          <w:lang w:val="en"/>
        </w:rPr>
        <w:t>Heythrop</w:t>
      </w:r>
      <w:proofErr w:type="spellEnd"/>
      <w:r w:rsidRPr="00E06508">
        <w:rPr>
          <w:i/>
          <w:color w:val="000000"/>
          <w:szCs w:val="21"/>
          <w:lang w:val="en"/>
        </w:rPr>
        <w:t xml:space="preserve"> Journal)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以及《克尔凯郭尔研究年鉴》</w:t>
      </w:r>
      <w:r>
        <w:rPr>
          <w:rFonts w:ascii="宋体" w:hAnsi="宋体" w:cs="宋体" w:hint="eastAsia"/>
          <w:color w:val="000000"/>
          <w:szCs w:val="21"/>
          <w:lang w:val="en"/>
        </w:rPr>
        <w:t>(</w:t>
      </w:r>
      <w:proofErr w:type="spellStart"/>
      <w:r w:rsidRPr="00E06508">
        <w:rPr>
          <w:i/>
          <w:color w:val="000000"/>
          <w:szCs w:val="21"/>
          <w:lang w:val="en"/>
        </w:rPr>
        <w:t>Kierkegaardian</w:t>
      </w:r>
      <w:proofErr w:type="spellEnd"/>
      <w:r w:rsidRPr="00E06508">
        <w:rPr>
          <w:i/>
          <w:color w:val="000000"/>
          <w:szCs w:val="21"/>
          <w:lang w:val="en"/>
        </w:rPr>
        <w:t xml:space="preserve"> Review</w:t>
      </w:r>
      <w:r>
        <w:rPr>
          <w:rFonts w:ascii="宋体" w:hAnsi="宋体" w:cs="宋体"/>
          <w:color w:val="000000"/>
          <w:szCs w:val="21"/>
          <w:lang w:val="en"/>
        </w:rPr>
        <w:t>)</w:t>
      </w:r>
      <w:r w:rsidRPr="00E06508">
        <w:rPr>
          <w:rFonts w:ascii="宋体" w:hAnsi="宋体" w:cs="宋体" w:hint="eastAsia"/>
          <w:color w:val="000000"/>
          <w:szCs w:val="21"/>
          <w:lang w:val="en"/>
        </w:rPr>
        <w:t>。</w:t>
      </w:r>
      <w:r w:rsidRPr="00E06508">
        <w:rPr>
          <w:color w:val="000000"/>
          <w:szCs w:val="21"/>
          <w:lang w:val="en"/>
        </w:rPr>
        <w:t xml:space="preserve">2019 </w:t>
      </w:r>
      <w:r w:rsidRPr="00E06508">
        <w:rPr>
          <w:rFonts w:hint="eastAsia"/>
          <w:color w:val="000000"/>
          <w:szCs w:val="21"/>
          <w:lang w:val="en"/>
        </w:rPr>
        <w:t>年，他由罗曼与利特菲尔德出版社出版专著《论艺术与自我：一项克尔凯郭尔式阐释》</w:t>
      </w:r>
      <w:r>
        <w:rPr>
          <w:rFonts w:hint="eastAsia"/>
          <w:color w:val="000000"/>
          <w:szCs w:val="21"/>
          <w:lang w:val="en"/>
        </w:rPr>
        <w:t>（</w:t>
      </w:r>
      <w:r w:rsidRPr="00E06508">
        <w:rPr>
          <w:i/>
          <w:color w:val="000000"/>
          <w:szCs w:val="21"/>
          <w:lang w:val="en"/>
        </w:rPr>
        <w:t xml:space="preserve">On Art and Selfhood: A </w:t>
      </w:r>
      <w:proofErr w:type="spellStart"/>
      <w:r w:rsidRPr="00E06508">
        <w:rPr>
          <w:i/>
          <w:color w:val="000000"/>
          <w:szCs w:val="21"/>
          <w:lang w:val="en"/>
        </w:rPr>
        <w:t>Kierkegaardian</w:t>
      </w:r>
      <w:proofErr w:type="spellEnd"/>
      <w:r w:rsidRPr="00E06508">
        <w:rPr>
          <w:i/>
          <w:color w:val="000000"/>
          <w:szCs w:val="21"/>
          <w:lang w:val="en"/>
        </w:rPr>
        <w:t xml:space="preserve"> Account</w:t>
      </w:r>
      <w:r>
        <w:rPr>
          <w:color w:val="000000"/>
          <w:szCs w:val="21"/>
          <w:lang w:val="en"/>
        </w:rPr>
        <w:t>）</w:t>
      </w:r>
      <w:r w:rsidRPr="00E06508">
        <w:rPr>
          <w:rFonts w:hint="eastAsia"/>
          <w:color w:val="000000"/>
          <w:szCs w:val="21"/>
          <w:lang w:val="en"/>
        </w:rPr>
        <w:t>。奥</w:t>
      </w:r>
      <w:proofErr w:type="gramStart"/>
      <w:r w:rsidRPr="00E06508">
        <w:rPr>
          <w:rFonts w:hint="eastAsia"/>
          <w:color w:val="000000"/>
          <w:szCs w:val="21"/>
          <w:lang w:val="en"/>
        </w:rPr>
        <w:t>曼</w:t>
      </w:r>
      <w:proofErr w:type="gramEnd"/>
      <w:r w:rsidRPr="00E06508">
        <w:rPr>
          <w:rFonts w:hint="eastAsia"/>
          <w:color w:val="000000"/>
          <w:szCs w:val="21"/>
          <w:lang w:val="en"/>
        </w:rPr>
        <w:t>曾</w:t>
      </w:r>
      <w:proofErr w:type="gramStart"/>
      <w:r w:rsidRPr="00E06508">
        <w:rPr>
          <w:rFonts w:hint="eastAsia"/>
          <w:color w:val="000000"/>
          <w:szCs w:val="21"/>
          <w:lang w:val="en"/>
        </w:rPr>
        <w:t>荣获北密歇</w:t>
      </w:r>
      <w:proofErr w:type="gramEnd"/>
      <w:r w:rsidRPr="00E06508">
        <w:rPr>
          <w:rFonts w:hint="eastAsia"/>
          <w:color w:val="000000"/>
          <w:szCs w:val="21"/>
          <w:lang w:val="en"/>
        </w:rPr>
        <w:t>根大学</w:t>
      </w:r>
      <w:r w:rsidRPr="00E06508">
        <w:rPr>
          <w:color w:val="000000"/>
          <w:szCs w:val="21"/>
          <w:lang w:val="en"/>
        </w:rPr>
        <w:t xml:space="preserve"> 2017 </w:t>
      </w:r>
      <w:r w:rsidRPr="00E06508">
        <w:rPr>
          <w:rFonts w:hint="eastAsia"/>
          <w:color w:val="000000"/>
          <w:szCs w:val="21"/>
          <w:lang w:val="en"/>
        </w:rPr>
        <w:t>年度杰出教学奖；同时他担任《克尔凯郭尔新研究》</w:t>
      </w:r>
      <w:r>
        <w:rPr>
          <w:rFonts w:hint="eastAsia"/>
          <w:color w:val="000000"/>
          <w:szCs w:val="21"/>
          <w:lang w:val="en"/>
        </w:rPr>
        <w:t>（</w:t>
      </w:r>
      <w:r w:rsidRPr="00E06508">
        <w:rPr>
          <w:i/>
          <w:color w:val="000000"/>
          <w:szCs w:val="21"/>
          <w:lang w:val="en"/>
        </w:rPr>
        <w:t>New Kierkegaard Research</w:t>
      </w:r>
      <w:r>
        <w:rPr>
          <w:color w:val="000000"/>
          <w:szCs w:val="21"/>
          <w:lang w:val="en"/>
        </w:rPr>
        <w:t>）</w:t>
      </w:r>
      <w:r w:rsidRPr="00E06508">
        <w:rPr>
          <w:rFonts w:hint="eastAsia"/>
          <w:color w:val="000000"/>
          <w:szCs w:val="21"/>
          <w:lang w:val="en"/>
        </w:rPr>
        <w:t>丛书联合主编，该丛书由</w:t>
      </w:r>
      <w:proofErr w:type="gramStart"/>
      <w:r w:rsidRPr="00E06508">
        <w:rPr>
          <w:rFonts w:hint="eastAsia"/>
          <w:color w:val="000000"/>
          <w:szCs w:val="21"/>
          <w:lang w:val="en"/>
        </w:rPr>
        <w:t>莱</w:t>
      </w:r>
      <w:proofErr w:type="gramEnd"/>
      <w:r w:rsidRPr="00E06508">
        <w:rPr>
          <w:rFonts w:hint="eastAsia"/>
          <w:color w:val="000000"/>
          <w:szCs w:val="21"/>
          <w:lang w:val="en"/>
        </w:rPr>
        <w:t>克星顿图书公司出版，收录各类专著与汇编文集。</w:t>
      </w:r>
    </w:p>
    <w:p w:rsidR="00CA1E62" w:rsidRDefault="00CA1E62">
      <w:pPr>
        <w:rPr>
          <w:b/>
          <w:color w:val="000000"/>
        </w:rPr>
      </w:pPr>
    </w:p>
    <w:p w:rsidR="00E06508" w:rsidRDefault="00E06508">
      <w:pPr>
        <w:rPr>
          <w:b/>
          <w:color w:val="000000"/>
        </w:rPr>
      </w:pPr>
    </w:p>
    <w:p w:rsidR="00E06508" w:rsidRDefault="00E06508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E06508" w:rsidRDefault="00E06508">
      <w:pPr>
        <w:rPr>
          <w:b/>
          <w:color w:val="000000"/>
        </w:rPr>
      </w:pP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致谢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导论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第一章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艺术如何引领我们进入别样境界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第二章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艺术如何激发我们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第三章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艺术如何改变我们的信念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第四章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母职个案研究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第五章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行动主义艺术个案研究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第六章</w:t>
      </w:r>
      <w:r w:rsidRPr="00E06508">
        <w:rPr>
          <w:rFonts w:hint="eastAsia"/>
          <w:color w:val="000000"/>
        </w:rPr>
        <w:t xml:space="preserve"> </w:t>
      </w:r>
      <w:r w:rsidRPr="00E06508">
        <w:rPr>
          <w:rFonts w:hint="eastAsia"/>
          <w:color w:val="000000"/>
        </w:rPr>
        <w:t>如何欣赏具有转化力量的艺术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注释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参考文献</w:t>
      </w:r>
    </w:p>
    <w:p w:rsidR="00E06508" w:rsidRPr="00E06508" w:rsidRDefault="00E06508" w:rsidP="00E06508">
      <w:pPr>
        <w:jc w:val="center"/>
        <w:rPr>
          <w:color w:val="000000"/>
        </w:rPr>
      </w:pPr>
      <w:r w:rsidRPr="00E06508">
        <w:rPr>
          <w:rFonts w:hint="eastAsia"/>
          <w:color w:val="000000"/>
        </w:rPr>
        <w:t>索引</w:t>
      </w:r>
    </w:p>
    <w:p w:rsidR="00E06508" w:rsidRDefault="00E06508">
      <w:pPr>
        <w:rPr>
          <w:b/>
          <w:color w:val="000000"/>
        </w:rPr>
      </w:pPr>
    </w:p>
    <w:p w:rsidR="00E06508" w:rsidRPr="004209F2" w:rsidRDefault="00E06508">
      <w:pPr>
        <w:rPr>
          <w:b/>
          <w:color w:val="000000"/>
        </w:rPr>
      </w:pPr>
    </w:p>
    <w:p w:rsidR="00EC7DF4" w:rsidRPr="0013605C" w:rsidRDefault="00EC7DF4" w:rsidP="00EC7DF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EC7DF4" w:rsidRPr="002333D9" w:rsidRDefault="00EC7DF4" w:rsidP="00EC7DF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7DF4" w:rsidRPr="00E556A0" w:rsidRDefault="00EC7DF4" w:rsidP="00EC7DF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EC7DF4" w:rsidRPr="0013605C" w:rsidRDefault="00EC7DF4" w:rsidP="00EC7DF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EC7DF4" w:rsidRPr="0013605C" w:rsidRDefault="00EC7DF4" w:rsidP="00EC7DF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EC7DF4" w:rsidRPr="0013605C" w:rsidRDefault="00EC7DF4" w:rsidP="00EC7DF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EC7DF4" w:rsidRPr="00D6262A" w:rsidRDefault="00EC7DF4" w:rsidP="00EC7DF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EC7DF4" w:rsidRPr="00D6262A" w:rsidRDefault="00EC7DF4" w:rsidP="00EC7DF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EC7DF4" w:rsidRPr="00D6262A" w:rsidRDefault="00EC7DF4" w:rsidP="00EC7DF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EC7DF4" w:rsidRPr="00D6262A" w:rsidRDefault="00EC7DF4" w:rsidP="00EC7DF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EC7DF4" w:rsidRPr="00D6262A" w:rsidRDefault="00EC7DF4" w:rsidP="00EC7DF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EC7DF4" w:rsidRDefault="00EC7DF4" w:rsidP="00EC7DF4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7DF4" w:rsidRDefault="00EC7DF4" w:rsidP="00EC7DF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EC7DF4" w:rsidRPr="0013605C" w:rsidRDefault="00EC7DF4" w:rsidP="00EC7DF4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EC7DF4" w:rsidRPr="00115765" w:rsidRDefault="00EC7DF4" w:rsidP="00EC7DF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lastRenderedPageBreak/>
        <w:drawing>
          <wp:inline distT="0" distB="0" distL="0" distR="0" wp14:anchorId="7CE195A4" wp14:editId="7536B0CE">
            <wp:extent cx="625475" cy="678815"/>
            <wp:effectExtent l="0" t="0" r="0" b="0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EC7DF4" w:rsidRDefault="00EC7DF4" w:rsidP="00EC7DF4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  <w:bookmarkStart w:id="9" w:name="_GoBack"/>
      <w:bookmarkEnd w:id="9"/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45D" w:rsidRDefault="00D6645D">
      <w:r>
        <w:separator/>
      </w:r>
    </w:p>
  </w:endnote>
  <w:endnote w:type="continuationSeparator" w:id="0">
    <w:p w:rsidR="00D6645D" w:rsidRDefault="00D6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45D" w:rsidRDefault="00D6645D">
      <w:r>
        <w:separator/>
      </w:r>
    </w:p>
  </w:footnote>
  <w:footnote w:type="continuationSeparator" w:id="0">
    <w:p w:rsidR="00D6645D" w:rsidRDefault="00D66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06E7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4AB3"/>
    <w:rsid w:val="0059057C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314E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6E71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117C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2421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A1E62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6645D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06508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C7DF4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D45D671-8997-494D-88CE-535C610D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104</TotalTime>
  <Pages>3</Pages>
  <Words>318</Words>
  <Characters>1818</Characters>
  <Application>Microsoft Office Word</Application>
  <DocSecurity>0</DocSecurity>
  <Lines>15</Lines>
  <Paragraphs>4</Paragraphs>
  <ScaleCrop>false</ScaleCrop>
  <Company>2ndSpAcE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9</cp:revision>
  <cp:lastPrinted>2005-06-10T06:33:00Z</cp:lastPrinted>
  <dcterms:created xsi:type="dcterms:W3CDTF">2026-08-06T02:04:00Z</dcterms:created>
  <dcterms:modified xsi:type="dcterms:W3CDTF">2026-08-06T06:04:00Z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